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DFB2C" w14:textId="77777777" w:rsidR="00E8412C" w:rsidRPr="008D74F5" w:rsidRDefault="00854692" w:rsidP="00E8412C">
      <w:pPr>
        <w:rPr>
          <w:rFonts w:cs="Arial"/>
        </w:rPr>
      </w:pPr>
      <w:r>
        <w:rPr>
          <w:noProof/>
          <w:lang w:eastAsia="en-GB"/>
        </w:rPr>
        <mc:AlternateContent>
          <mc:Choice Requires="wps">
            <w:drawing>
              <wp:anchor distT="0" distB="0" distL="114300" distR="114300" simplePos="0" relativeHeight="251656192" behindDoc="0" locked="0" layoutInCell="1" allowOverlap="1" wp14:anchorId="23A2C34B" wp14:editId="362AE445">
                <wp:simplePos x="0" y="0"/>
                <wp:positionH relativeFrom="page">
                  <wp:posOffset>2118995</wp:posOffset>
                </wp:positionH>
                <wp:positionV relativeFrom="page">
                  <wp:posOffset>1587500</wp:posOffset>
                </wp:positionV>
                <wp:extent cx="4872990" cy="3256280"/>
                <wp:effectExtent l="0" t="0" r="3810" b="1270"/>
                <wp:wrapNone/>
                <wp:docPr id="1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2990" cy="325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3F03E0A8" w14:textId="2ACF2ACE" w:rsidR="00311A0F" w:rsidRPr="003E7FF7" w:rsidRDefault="00311A0F" w:rsidP="001248D7">
                            <w:pPr>
                              <w:spacing w:line="312" w:lineRule="auto"/>
                              <w:ind w:left="142"/>
                              <w:rPr>
                                <w:rFonts w:ascii="Arial" w:hAnsi="Arial" w:cs="Arial"/>
                                <w:sz w:val="44"/>
                              </w:rPr>
                            </w:pPr>
                            <w:r w:rsidRPr="003E7FF7">
                              <w:rPr>
                                <w:rFonts w:ascii="Arial" w:hAnsi="Arial" w:cs="Arial"/>
                                <w:sz w:val="44"/>
                              </w:rPr>
                              <w:t>NICE DECISION SUPPORT UNIT</w:t>
                            </w:r>
                          </w:p>
                          <w:p w14:paraId="12CE50B2" w14:textId="77777777" w:rsidR="00311A0F" w:rsidRPr="003E7FF7" w:rsidRDefault="00311A0F" w:rsidP="00E8412C">
                            <w:pPr>
                              <w:spacing w:line="312" w:lineRule="auto"/>
                              <w:ind w:left="142"/>
                              <w:rPr>
                                <w:rFonts w:ascii="Arial" w:hAnsi="Arial" w:cs="Arial"/>
                                <w:sz w:val="44"/>
                                <w:highlight w:val="yellow"/>
                              </w:rPr>
                            </w:pPr>
                          </w:p>
                          <w:p w14:paraId="0FFA70F8" w14:textId="28A6D867" w:rsidR="00311A0F" w:rsidRPr="003E7FF7" w:rsidRDefault="00311A0F" w:rsidP="00E8412C">
                            <w:pPr>
                              <w:spacing w:line="312" w:lineRule="auto"/>
                              <w:ind w:left="142"/>
                              <w:rPr>
                                <w:rFonts w:ascii="Arial" w:hAnsi="Arial" w:cs="Arial"/>
                                <w:sz w:val="36"/>
                              </w:rPr>
                            </w:pPr>
                            <w:r w:rsidRPr="003E7FF7">
                              <w:rPr>
                                <w:rFonts w:ascii="Arial" w:hAnsi="Arial" w:cs="Arial"/>
                                <w:sz w:val="36"/>
                              </w:rPr>
                              <w:t xml:space="preserve">Clinical </w:t>
                            </w:r>
                            <w:r>
                              <w:rPr>
                                <w:rFonts w:ascii="Arial" w:hAnsi="Arial" w:cs="Arial"/>
                                <w:sz w:val="36"/>
                              </w:rPr>
                              <w:t>Equivalence and Non-I</w:t>
                            </w:r>
                            <w:r w:rsidRPr="003E7FF7">
                              <w:rPr>
                                <w:rFonts w:ascii="Arial" w:hAnsi="Arial" w:cs="Arial"/>
                                <w:sz w:val="36"/>
                              </w:rPr>
                              <w:t>nferiority</w:t>
                            </w:r>
                          </w:p>
                          <w:p w14:paraId="15CC8555" w14:textId="77777777" w:rsidR="00311A0F" w:rsidRPr="003E7FF7" w:rsidRDefault="00311A0F" w:rsidP="00E8412C">
                            <w:pPr>
                              <w:spacing w:line="312" w:lineRule="auto"/>
                              <w:ind w:left="142"/>
                              <w:rPr>
                                <w:rFonts w:ascii="Arial" w:hAnsi="Arial" w:cs="Arial"/>
                                <w:sz w:val="44"/>
                              </w:rPr>
                            </w:pPr>
                          </w:p>
                          <w:p w14:paraId="6223B9EF" w14:textId="77777777" w:rsidR="00311A0F" w:rsidRPr="003E7FF7" w:rsidRDefault="00311A0F" w:rsidP="00E8412C">
                            <w:pPr>
                              <w:ind w:left="142"/>
                              <w:rPr>
                                <w:rFonts w:ascii="Arial" w:hAnsi="Arial" w:cs="Arial"/>
                                <w:sz w:val="20"/>
                                <w:lang w:eastAsia="en-GB" w:bidi="x-none"/>
                              </w:rPr>
                            </w:pPr>
                            <w:r w:rsidRPr="003E7FF7">
                              <w:rPr>
                                <w:rFonts w:ascii="Arial" w:hAnsi="Arial" w:cs="Arial"/>
                                <w:sz w:val="36"/>
                              </w:rPr>
                              <w:t>Draft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2C34B" id="Rectangle 26" o:spid="_x0000_s1026" style="position:absolute;margin-left:166.85pt;margin-top:125pt;width:383.7pt;height:256.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" filled="f" stroked="f" strokeweight="1pt">
                <v:path arrowok="t"/>
                <v:textbox inset="0,0,0,0">
                  <w:txbxContent>
                    <w:p w14:paraId="3F03E0A8" w14:textId="2ACF2ACE" w:rsidR="00311A0F" w:rsidRPr="003E7FF7" w:rsidRDefault="00311A0F" w:rsidP="001248D7">
                      <w:pPr>
                        <w:spacing w:line="312" w:lineRule="auto"/>
                        <w:ind w:left="142"/>
                        <w:rPr>
                          <w:rFonts w:ascii="Arial" w:hAnsi="Arial" w:cs="Arial"/>
                          <w:sz w:val="44"/>
                        </w:rPr>
                      </w:pPr>
                      <w:r w:rsidRPr="003E7FF7">
                        <w:rPr>
                          <w:rFonts w:ascii="Arial" w:hAnsi="Arial" w:cs="Arial"/>
                          <w:sz w:val="44"/>
                        </w:rPr>
                        <w:t>NICE DECISION SUPPORT UNIT</w:t>
                      </w:r>
                    </w:p>
                    <w:p w14:paraId="12CE50B2" w14:textId="77777777" w:rsidR="00311A0F" w:rsidRPr="003E7FF7" w:rsidRDefault="00311A0F" w:rsidP="00E8412C">
                      <w:pPr>
                        <w:spacing w:line="312" w:lineRule="auto"/>
                        <w:ind w:left="142"/>
                        <w:rPr>
                          <w:rFonts w:ascii="Arial" w:hAnsi="Arial" w:cs="Arial"/>
                          <w:sz w:val="44"/>
                          <w:highlight w:val="yellow"/>
                        </w:rPr>
                      </w:pPr>
                    </w:p>
                    <w:p w14:paraId="0FFA70F8" w14:textId="28A6D867" w:rsidR="00311A0F" w:rsidRPr="003E7FF7" w:rsidRDefault="00311A0F" w:rsidP="00E8412C">
                      <w:pPr>
                        <w:spacing w:line="312" w:lineRule="auto"/>
                        <w:ind w:left="142"/>
                        <w:rPr>
                          <w:rFonts w:ascii="Arial" w:hAnsi="Arial" w:cs="Arial"/>
                          <w:sz w:val="36"/>
                        </w:rPr>
                      </w:pPr>
                      <w:r w:rsidRPr="003E7FF7">
                        <w:rPr>
                          <w:rFonts w:ascii="Arial" w:hAnsi="Arial" w:cs="Arial"/>
                          <w:sz w:val="36"/>
                        </w:rPr>
                        <w:t xml:space="preserve">Clinical </w:t>
                      </w:r>
                      <w:r>
                        <w:rPr>
                          <w:rFonts w:ascii="Arial" w:hAnsi="Arial" w:cs="Arial"/>
                          <w:sz w:val="36"/>
                        </w:rPr>
                        <w:t>Equivalence and Non-I</w:t>
                      </w:r>
                      <w:r w:rsidRPr="003E7FF7">
                        <w:rPr>
                          <w:rFonts w:ascii="Arial" w:hAnsi="Arial" w:cs="Arial"/>
                          <w:sz w:val="36"/>
                        </w:rPr>
                        <w:t>nferiority</w:t>
                      </w:r>
                    </w:p>
                    <w:p w14:paraId="15CC8555" w14:textId="77777777" w:rsidR="00311A0F" w:rsidRPr="003E7FF7" w:rsidRDefault="00311A0F" w:rsidP="00E8412C">
                      <w:pPr>
                        <w:spacing w:line="312" w:lineRule="auto"/>
                        <w:ind w:left="142"/>
                        <w:rPr>
                          <w:rFonts w:ascii="Arial" w:hAnsi="Arial" w:cs="Arial"/>
                          <w:sz w:val="44"/>
                        </w:rPr>
                      </w:pPr>
                    </w:p>
                    <w:p w14:paraId="6223B9EF" w14:textId="77777777" w:rsidR="00311A0F" w:rsidRPr="003E7FF7" w:rsidRDefault="00311A0F" w:rsidP="00E8412C">
                      <w:pPr>
                        <w:ind w:left="142"/>
                        <w:rPr>
                          <w:rFonts w:ascii="Arial" w:hAnsi="Arial" w:cs="Arial"/>
                          <w:sz w:val="20"/>
                          <w:lang w:eastAsia="en-GB" w:bidi="x-none"/>
                        </w:rPr>
                      </w:pPr>
                      <w:r w:rsidRPr="003E7FF7">
                        <w:rPr>
                          <w:rFonts w:ascii="Arial" w:hAnsi="Arial" w:cs="Arial"/>
                          <w:sz w:val="36"/>
                        </w:rPr>
                        <w:t>Draft Report</w:t>
                      </w:r>
                    </w:p>
                  </w:txbxContent>
                </v:textbox>
                <w10:wrap anchorx="page" anchory="page"/>
              </v:rect>
            </w:pict>
          </mc:Fallback>
        </mc:AlternateContent>
      </w:r>
    </w:p>
    <w:p w14:paraId="76E99129" w14:textId="77777777" w:rsidR="00E8412C" w:rsidRPr="008D74F5" w:rsidRDefault="00E8412C" w:rsidP="00E8412C">
      <w:pPr>
        <w:rPr>
          <w:rFonts w:cs="Arial"/>
        </w:rPr>
      </w:pPr>
    </w:p>
    <w:p w14:paraId="7972CB5A" w14:textId="77777777" w:rsidR="00E8412C" w:rsidRPr="00FF717E" w:rsidRDefault="008D74F5" w:rsidP="00E8412C">
      <w:pPr>
        <w:ind w:right="560"/>
        <w:rPr>
          <w:rStyle w:val="Authors"/>
          <w:rFonts w:cs="Arial"/>
        </w:rPr>
      </w:pPr>
      <w:r>
        <w:rPr>
          <w:noProof/>
          <w:lang w:eastAsia="en-GB"/>
        </w:rPr>
        <mc:AlternateContent>
          <mc:Choice Requires="wps">
            <w:drawing>
              <wp:anchor distT="0" distB="0" distL="114300" distR="114300" simplePos="0" relativeHeight="251658240" behindDoc="0" locked="0" layoutInCell="1" allowOverlap="1" wp14:anchorId="2684049C" wp14:editId="31B18A79">
                <wp:simplePos x="0" y="0"/>
                <wp:positionH relativeFrom="page">
                  <wp:posOffset>3188970</wp:posOffset>
                </wp:positionH>
                <wp:positionV relativeFrom="page">
                  <wp:posOffset>7040880</wp:posOffset>
                </wp:positionV>
                <wp:extent cx="3832225" cy="902970"/>
                <wp:effectExtent l="0" t="0" r="15875" b="1143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32225" cy="902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0D266104" w14:textId="77777777" w:rsidR="00311A0F" w:rsidRPr="003E7FF7" w:rsidRDefault="00311A0F" w:rsidP="006409A5">
                            <w:pPr>
                              <w:ind w:right="369"/>
                              <w:jc w:val="right"/>
                              <w:rPr>
                                <w:rFonts w:ascii="Arial" w:hAnsi="Arial" w:cs="Arial"/>
                              </w:rPr>
                            </w:pPr>
                            <w:r w:rsidRPr="003E7FF7">
                              <w:rPr>
                                <w:rFonts w:ascii="Arial" w:hAnsi="Arial" w:cs="Arial"/>
                              </w:rPr>
                              <w:t>JAMES MAHON, Associate</w:t>
                            </w:r>
                          </w:p>
                          <w:p w14:paraId="4A5FA437" w14:textId="77777777" w:rsidR="00311A0F" w:rsidRDefault="00311A0F" w:rsidP="00E8412C">
                            <w:pPr>
                              <w:ind w:right="369"/>
                              <w:jc w:val="right"/>
                              <w:rPr>
                                <w:rFonts w:ascii="Arial" w:hAnsi="Arial" w:cs="Arial"/>
                              </w:rPr>
                            </w:pPr>
                            <w:r w:rsidRPr="003E7FF7">
                              <w:rPr>
                                <w:rFonts w:ascii="Arial" w:hAnsi="Arial" w:cs="Arial"/>
                              </w:rPr>
                              <w:t>MIKE CHAMBERS, Associate</w:t>
                            </w:r>
                          </w:p>
                          <w:p w14:paraId="522BA719" w14:textId="77777777" w:rsidR="00311A0F" w:rsidRPr="003E7FF7" w:rsidRDefault="00311A0F" w:rsidP="006409A5">
                            <w:pPr>
                              <w:ind w:right="369"/>
                              <w:jc w:val="right"/>
                              <w:rPr>
                                <w:rFonts w:ascii="Arial" w:hAnsi="Arial" w:cs="Arial"/>
                              </w:rPr>
                            </w:pPr>
                            <w:r w:rsidRPr="003E7FF7">
                              <w:rPr>
                                <w:rFonts w:ascii="Arial" w:hAnsi="Arial" w:cs="Arial"/>
                              </w:rPr>
                              <w:t>MATTHEW TAYLOR, Director</w:t>
                            </w:r>
                          </w:p>
                          <w:p w14:paraId="0B6D164F" w14:textId="12D9D8D2" w:rsidR="00311A0F" w:rsidRPr="003E7FF7" w:rsidRDefault="00311A0F" w:rsidP="00E8412C">
                            <w:pPr>
                              <w:ind w:right="369"/>
                              <w:jc w:val="right"/>
                              <w:rPr>
                                <w:rFonts w:ascii="Arial" w:hAnsi="Arial" w:cs="Arial"/>
                              </w:rPr>
                            </w:pPr>
                            <w:r w:rsidRPr="003E7FF7">
                              <w:rPr>
                                <w:rFonts w:ascii="Arial" w:hAnsi="Arial" w:cs="Arial"/>
                              </w:rPr>
                              <w:t xml:space="preserve"> </w:t>
                            </w:r>
                          </w:p>
                          <w:p w14:paraId="01C2EA84" w14:textId="77777777" w:rsidR="00311A0F" w:rsidRPr="003E7FF7" w:rsidRDefault="00311A0F" w:rsidP="00E8412C">
                            <w:pPr>
                              <w:ind w:right="369"/>
                              <w:jc w:val="right"/>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4049C" id="Rectangle 3" o:spid="_x0000_s1027" style="position:absolute;margin-left:251.1pt;margin-top:554.4pt;width:301.75pt;height:7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" filled="f" stroked="f" strokeweight="1pt">
                <v:path arrowok="t"/>
                <v:textbox inset="0,0,0,0">
                  <w:txbxContent>
                    <w:p w14:paraId="0D266104" w14:textId="77777777" w:rsidR="00311A0F" w:rsidRPr="003E7FF7" w:rsidRDefault="00311A0F" w:rsidP="006409A5">
                      <w:pPr>
                        <w:ind w:right="369"/>
                        <w:jc w:val="right"/>
                        <w:rPr>
                          <w:rFonts w:ascii="Arial" w:hAnsi="Arial" w:cs="Arial"/>
                        </w:rPr>
                      </w:pPr>
                      <w:r w:rsidRPr="003E7FF7">
                        <w:rPr>
                          <w:rFonts w:ascii="Arial" w:hAnsi="Arial" w:cs="Arial"/>
                        </w:rPr>
                        <w:t>JAMES MAHON, Associate</w:t>
                      </w:r>
                    </w:p>
                    <w:p w14:paraId="4A5FA437" w14:textId="77777777" w:rsidR="00311A0F" w:rsidRDefault="00311A0F" w:rsidP="00E8412C">
                      <w:pPr>
                        <w:ind w:right="369"/>
                        <w:jc w:val="right"/>
                        <w:rPr>
                          <w:rFonts w:ascii="Arial" w:hAnsi="Arial" w:cs="Arial"/>
                        </w:rPr>
                      </w:pPr>
                      <w:r w:rsidRPr="003E7FF7">
                        <w:rPr>
                          <w:rFonts w:ascii="Arial" w:hAnsi="Arial" w:cs="Arial"/>
                        </w:rPr>
                        <w:t>MIKE CHAMBERS, Associate</w:t>
                      </w:r>
                    </w:p>
                    <w:p w14:paraId="522BA719" w14:textId="77777777" w:rsidR="00311A0F" w:rsidRPr="003E7FF7" w:rsidRDefault="00311A0F" w:rsidP="006409A5">
                      <w:pPr>
                        <w:ind w:right="369"/>
                        <w:jc w:val="right"/>
                        <w:rPr>
                          <w:rFonts w:ascii="Arial" w:hAnsi="Arial" w:cs="Arial"/>
                        </w:rPr>
                      </w:pPr>
                      <w:r w:rsidRPr="003E7FF7">
                        <w:rPr>
                          <w:rFonts w:ascii="Arial" w:hAnsi="Arial" w:cs="Arial"/>
                        </w:rPr>
                        <w:t>MATTHEW TAYLOR, Director</w:t>
                      </w:r>
                    </w:p>
                    <w:p w14:paraId="0B6D164F" w14:textId="12D9D8D2" w:rsidR="00311A0F" w:rsidRPr="003E7FF7" w:rsidRDefault="00311A0F" w:rsidP="00E8412C">
                      <w:pPr>
                        <w:ind w:right="369"/>
                        <w:jc w:val="right"/>
                        <w:rPr>
                          <w:rFonts w:ascii="Arial" w:hAnsi="Arial" w:cs="Arial"/>
                        </w:rPr>
                      </w:pPr>
                      <w:r w:rsidRPr="003E7FF7">
                        <w:rPr>
                          <w:rFonts w:ascii="Arial" w:hAnsi="Arial" w:cs="Arial"/>
                        </w:rPr>
                        <w:t xml:space="preserve"> </w:t>
                      </w:r>
                    </w:p>
                    <w:p w14:paraId="01C2EA84" w14:textId="77777777" w:rsidR="00311A0F" w:rsidRPr="003E7FF7" w:rsidRDefault="00311A0F" w:rsidP="00E8412C">
                      <w:pPr>
                        <w:ind w:right="369"/>
                        <w:jc w:val="right"/>
                        <w:rPr>
                          <w:rFonts w:ascii="Arial" w:hAnsi="Arial" w:cs="Arial"/>
                        </w:rPr>
                      </w:pPr>
                    </w:p>
                  </w:txbxContent>
                </v:textbox>
                <w10:wrap anchorx="page" anchory="page"/>
              </v:rect>
            </w:pict>
          </mc:Fallback>
        </mc:AlternateContent>
      </w:r>
      <w:r w:rsidR="002655C0">
        <w:rPr>
          <w:noProof/>
          <w:lang w:eastAsia="en-GB"/>
        </w:rPr>
        <mc:AlternateContent>
          <mc:Choice Requires="wps">
            <w:drawing>
              <wp:anchor distT="0" distB="0" distL="114300" distR="114300" simplePos="0" relativeHeight="251660288" behindDoc="0" locked="0" layoutInCell="1" allowOverlap="1" wp14:anchorId="031A0779" wp14:editId="189D5353">
                <wp:simplePos x="0" y="0"/>
                <wp:positionH relativeFrom="page">
                  <wp:posOffset>5227320</wp:posOffset>
                </wp:positionH>
                <wp:positionV relativeFrom="page">
                  <wp:posOffset>8508365</wp:posOffset>
                </wp:positionV>
                <wp:extent cx="1623695" cy="401320"/>
                <wp:effectExtent l="0" t="0" r="14605" b="1778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369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sdt>
                            <w:sdtPr>
                              <w:rPr>
                                <w:rFonts w:ascii="Arial" w:hAnsi="Arial" w:cs="Arial"/>
                                <w:szCs w:val="22"/>
                                <w:lang w:eastAsia="en-GB" w:bidi="x-none"/>
                              </w:rPr>
                              <w:alias w:val="Please Enter Date"/>
                              <w:tag w:val="Please Enter Date"/>
                              <w:id w:val="-1545750826"/>
                              <w:placeholder>
                                <w:docPart w:val="8B2A660C8D8A44D390A5E4FAC1B6BBDD"/>
                              </w:placeholder>
                              <w:date w:fullDate="2020-02-04T00:00:00Z">
                                <w:dateFormat w:val="dd MMMM yyyy"/>
                                <w:lid w:val="en-GB"/>
                                <w:storeMappedDataAs w:val="dateTime"/>
                                <w:calendar w:val="gregorian"/>
                              </w:date>
                            </w:sdtPr>
                            <w:sdtContent>
                              <w:p w14:paraId="28FD1F5C" w14:textId="53194084" w:rsidR="00311A0F" w:rsidRPr="003E7FF7" w:rsidRDefault="00311A0F" w:rsidP="0018156D">
                                <w:pPr>
                                  <w:jc w:val="right"/>
                                  <w:rPr>
                                    <w:rFonts w:ascii="Arial" w:hAnsi="Arial" w:cs="Arial"/>
                                    <w:szCs w:val="22"/>
                                    <w:lang w:eastAsia="en-GB" w:bidi="x-none"/>
                                  </w:rPr>
                                </w:pPr>
                                <w:r>
                                  <w:rPr>
                                    <w:rFonts w:ascii="Arial" w:hAnsi="Arial" w:cs="Arial"/>
                                    <w:szCs w:val="22"/>
                                    <w:lang w:eastAsia="en-GB" w:bidi="x-none"/>
                                  </w:rPr>
                                  <w:t>04 February 2020</w:t>
                                </w:r>
                              </w:p>
                            </w:sdtContent>
                          </w:sdt>
                          <w:p w14:paraId="11A8C991" w14:textId="77777777" w:rsidR="00311A0F" w:rsidRPr="00E8412C" w:rsidRDefault="00311A0F" w:rsidP="00E8412C">
                            <w:pPr>
                              <w:jc w:val="right"/>
                              <w:rPr>
                                <w:rFonts w:cs="Arial"/>
                                <w:szCs w:val="22"/>
                                <w:lang w:eastAsia="en-GB"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A0779" id="Rectangle 6" o:spid="_x0000_s1028" style="position:absolute;margin-left:411.6pt;margin-top:669.95pt;width:127.85pt;height:3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" filled="f" stroked="f" strokeweight="1pt">
                <v:path arrowok="t"/>
                <v:textbox inset="0,0,0,0">
                  <w:txbxContent>
                    <w:sdt>
                      <w:sdtPr>
                        <w:rPr>
                          <w:rFonts w:ascii="Arial" w:hAnsi="Arial" w:cs="Arial"/>
                          <w:szCs w:val="22"/>
                          <w:lang w:eastAsia="en-GB" w:bidi="x-none"/>
                        </w:rPr>
                        <w:alias w:val="Please Enter Date"/>
                        <w:tag w:val="Please Enter Date"/>
                        <w:id w:val="-1545750826"/>
                        <w:placeholder>
                          <w:docPart w:val="8B2A660C8D8A44D390A5E4FAC1B6BBDD"/>
                        </w:placeholder>
                        <w:date w:fullDate="2020-02-04T00:00:00Z">
                          <w:dateFormat w:val="dd MMMM yyyy"/>
                          <w:lid w:val="en-GB"/>
                          <w:storeMappedDataAs w:val="dateTime"/>
                          <w:calendar w:val="gregorian"/>
                        </w:date>
                      </w:sdtPr>
                      <w:sdtContent>
                        <w:p w14:paraId="28FD1F5C" w14:textId="53194084" w:rsidR="00311A0F" w:rsidRPr="003E7FF7" w:rsidRDefault="00311A0F" w:rsidP="0018156D">
                          <w:pPr>
                            <w:jc w:val="right"/>
                            <w:rPr>
                              <w:rFonts w:ascii="Arial" w:hAnsi="Arial" w:cs="Arial"/>
                              <w:szCs w:val="22"/>
                              <w:lang w:eastAsia="en-GB" w:bidi="x-none"/>
                            </w:rPr>
                          </w:pPr>
                          <w:r>
                            <w:rPr>
                              <w:rFonts w:ascii="Arial" w:hAnsi="Arial" w:cs="Arial"/>
                              <w:szCs w:val="22"/>
                              <w:lang w:eastAsia="en-GB" w:bidi="x-none"/>
                            </w:rPr>
                            <w:t>04 February 2020</w:t>
                          </w:r>
                        </w:p>
                      </w:sdtContent>
                    </w:sdt>
                    <w:p w14:paraId="11A8C991" w14:textId="77777777" w:rsidR="00311A0F" w:rsidRPr="00E8412C" w:rsidRDefault="00311A0F" w:rsidP="00E8412C">
                      <w:pPr>
                        <w:jc w:val="right"/>
                        <w:rPr>
                          <w:rFonts w:cs="Arial"/>
                          <w:szCs w:val="22"/>
                          <w:lang w:eastAsia="en-GB" w:bidi="x-none"/>
                        </w:rPr>
                      </w:pPr>
                    </w:p>
                  </w:txbxContent>
                </v:textbox>
                <w10:wrap anchorx="page" anchory="page"/>
              </v:rect>
            </w:pict>
          </mc:Fallback>
        </mc:AlternateContent>
      </w:r>
    </w:p>
    <w:p w14:paraId="43F02678" w14:textId="77777777" w:rsidR="00E8412C" w:rsidRPr="00FF717E" w:rsidRDefault="00E8412C" w:rsidP="00E8412C">
      <w:pPr>
        <w:ind w:right="560"/>
        <w:rPr>
          <w:rStyle w:val="Authors"/>
          <w:rFonts w:cs="Arial"/>
        </w:rPr>
      </w:pPr>
    </w:p>
    <w:p w14:paraId="6F009D49" w14:textId="77777777" w:rsidR="00E8412C" w:rsidRPr="00FF717E" w:rsidRDefault="00E8412C" w:rsidP="00E8412C">
      <w:pPr>
        <w:ind w:right="560"/>
        <w:rPr>
          <w:rStyle w:val="Authors"/>
          <w:rFonts w:cs="Arial"/>
        </w:rPr>
      </w:pPr>
    </w:p>
    <w:p w14:paraId="059EF59B" w14:textId="77777777" w:rsidR="00E8412C" w:rsidRPr="00FF717E" w:rsidRDefault="00E8412C" w:rsidP="00E8412C">
      <w:pPr>
        <w:ind w:right="560"/>
        <w:rPr>
          <w:rStyle w:val="Authors"/>
          <w:rFonts w:cs="Arial"/>
        </w:rPr>
      </w:pPr>
    </w:p>
    <w:p w14:paraId="3E40E6FE" w14:textId="77777777" w:rsidR="00E8412C" w:rsidRPr="00FF717E" w:rsidRDefault="00E8412C" w:rsidP="00E8412C">
      <w:pPr>
        <w:ind w:right="560"/>
        <w:rPr>
          <w:rStyle w:val="Authors"/>
          <w:rFonts w:cs="Arial"/>
        </w:rPr>
        <w:sectPr w:rsidR="00E8412C" w:rsidRPr="00FF717E" w:rsidSect="00E8412C">
          <w:headerReference w:type="even" r:id="rId8"/>
          <w:headerReference w:type="first" r:id="rId9"/>
          <w:footerReference w:type="first" r:id="rId10"/>
          <w:pgSz w:w="11906" w:h="16838" w:code="9"/>
          <w:pgMar w:top="992" w:right="1701" w:bottom="1701" w:left="1418" w:header="703" w:footer="417" w:gutter="0"/>
          <w:pgNumType w:start="1"/>
          <w:cols w:space="708"/>
          <w:titlePg/>
          <w:docGrid w:linePitch="360"/>
        </w:sectPr>
      </w:pPr>
      <w:bookmarkStart w:id="0" w:name="_GoBack"/>
      <w:bookmarkEnd w:id="0"/>
    </w:p>
    <w:p w14:paraId="5AEA7424" w14:textId="77777777" w:rsidR="00612C69" w:rsidRPr="00612C69" w:rsidRDefault="00612C69">
      <w:pPr>
        <w:pStyle w:val="OtherHeading"/>
        <w:rPr>
          <w:rFonts w:cs="Arial"/>
        </w:rPr>
      </w:pPr>
      <w:r w:rsidRPr="00612C69">
        <w:rPr>
          <w:rFonts w:cs="Arial"/>
        </w:rPr>
        <w:lastRenderedPageBreak/>
        <w:t>Contents</w:t>
      </w:r>
    </w:p>
    <w:p w14:paraId="6F76690F" w14:textId="413BE4B6" w:rsidR="00612C69" w:rsidRDefault="00612C69">
      <w:pPr>
        <w:tabs>
          <w:tab w:val="left" w:pos="720"/>
          <w:tab w:val="left" w:pos="2552"/>
          <w:tab w:val="right" w:pos="9639"/>
        </w:tabs>
        <w:rPr>
          <w:rFonts w:cs="Arial"/>
          <w:b/>
          <w:bCs/>
          <w:szCs w:val="22"/>
        </w:rPr>
      </w:pPr>
    </w:p>
    <w:p w14:paraId="31C1EE30" w14:textId="77777777" w:rsidR="00FC046B" w:rsidRPr="00B13B73" w:rsidRDefault="00FC046B">
      <w:pPr>
        <w:tabs>
          <w:tab w:val="left" w:pos="720"/>
          <w:tab w:val="left" w:pos="2552"/>
          <w:tab w:val="right" w:pos="9639"/>
        </w:tabs>
        <w:rPr>
          <w:rFonts w:cs="Arial"/>
          <w:b/>
          <w:bCs/>
        </w:rPr>
      </w:pPr>
    </w:p>
    <w:p w14:paraId="2CA95871" w14:textId="77777777" w:rsidR="00612C69" w:rsidRPr="00B13B73" w:rsidRDefault="00612C69">
      <w:pPr>
        <w:tabs>
          <w:tab w:val="right" w:pos="9072"/>
        </w:tabs>
        <w:rPr>
          <w:rFonts w:ascii="Arial" w:hAnsi="Arial" w:cs="Arial"/>
          <w:b/>
          <w:bCs/>
        </w:rPr>
      </w:pPr>
      <w:r w:rsidRPr="00B13B73">
        <w:rPr>
          <w:rFonts w:cs="Arial"/>
          <w:b/>
          <w:bCs/>
        </w:rPr>
        <w:tab/>
      </w:r>
      <w:r w:rsidRPr="00B13B73">
        <w:rPr>
          <w:rFonts w:ascii="Arial" w:hAnsi="Arial" w:cs="Arial"/>
          <w:b/>
          <w:bCs/>
        </w:rPr>
        <w:t>Page No.</w:t>
      </w:r>
    </w:p>
    <w:p w14:paraId="2F82A975" w14:textId="04C05DE4" w:rsidR="008241F1" w:rsidRPr="00B13B73" w:rsidRDefault="00263091">
      <w:pPr>
        <w:pStyle w:val="TOC1"/>
        <w:rPr>
          <w:rFonts w:asciiTheme="minorHAnsi" w:eastAsiaTheme="minorEastAsia" w:hAnsiTheme="minorHAnsi" w:cstheme="minorBidi"/>
          <w:b w:val="0"/>
          <w:noProof/>
          <w:sz w:val="24"/>
          <w:lang w:eastAsia="en-GB"/>
        </w:rPr>
      </w:pPr>
      <w:r w:rsidRPr="00B13B73">
        <w:rPr>
          <w:rFonts w:cs="Arial"/>
          <w:sz w:val="24"/>
        </w:rPr>
        <w:fldChar w:fldCharType="begin"/>
      </w:r>
      <w:r w:rsidR="00612C69" w:rsidRPr="00B13B73">
        <w:rPr>
          <w:rFonts w:cs="Arial"/>
          <w:sz w:val="24"/>
        </w:rPr>
        <w:instrText xml:space="preserve"> TOC \o "1-2" \h \z </w:instrText>
      </w:r>
      <w:r w:rsidRPr="00B13B73">
        <w:rPr>
          <w:rFonts w:cs="Arial"/>
          <w:sz w:val="24"/>
        </w:rPr>
        <w:fldChar w:fldCharType="separate"/>
      </w:r>
      <w:hyperlink w:anchor="_Toc31727295" w:history="1">
        <w:r w:rsidR="008241F1" w:rsidRPr="00B13B73">
          <w:rPr>
            <w:rStyle w:val="Hyperlink"/>
            <w:noProof/>
            <w:sz w:val="24"/>
          </w:rPr>
          <w:t>Section 1:</w:t>
        </w:r>
        <w:r w:rsidR="008241F1" w:rsidRPr="00B13B73">
          <w:rPr>
            <w:rFonts w:asciiTheme="minorHAnsi" w:eastAsiaTheme="minorEastAsia" w:hAnsiTheme="minorHAnsi" w:cstheme="minorBidi"/>
            <w:b w:val="0"/>
            <w:noProof/>
            <w:sz w:val="24"/>
            <w:lang w:eastAsia="en-GB"/>
          </w:rPr>
          <w:tab/>
        </w:r>
        <w:r w:rsidR="008241F1" w:rsidRPr="00B13B73">
          <w:rPr>
            <w:rStyle w:val="Hyperlink"/>
            <w:noProof/>
            <w:sz w:val="24"/>
          </w:rPr>
          <w:t>Introduction</w:t>
        </w:r>
        <w:r w:rsidR="008241F1" w:rsidRPr="00B13B73">
          <w:rPr>
            <w:noProof/>
            <w:webHidden/>
            <w:sz w:val="24"/>
          </w:rPr>
          <w:tab/>
        </w:r>
        <w:r w:rsidR="008241F1" w:rsidRPr="00B13B73">
          <w:rPr>
            <w:noProof/>
            <w:webHidden/>
            <w:sz w:val="24"/>
          </w:rPr>
          <w:fldChar w:fldCharType="begin"/>
        </w:r>
        <w:r w:rsidR="008241F1" w:rsidRPr="00B13B73">
          <w:rPr>
            <w:noProof/>
            <w:webHidden/>
            <w:sz w:val="24"/>
          </w:rPr>
          <w:instrText xml:space="preserve"> PAGEREF _Toc31727295 \h </w:instrText>
        </w:r>
        <w:r w:rsidR="008241F1" w:rsidRPr="00B13B73">
          <w:rPr>
            <w:noProof/>
            <w:webHidden/>
            <w:sz w:val="24"/>
          </w:rPr>
        </w:r>
        <w:r w:rsidR="008241F1" w:rsidRPr="00B13B73">
          <w:rPr>
            <w:noProof/>
            <w:webHidden/>
            <w:sz w:val="24"/>
          </w:rPr>
          <w:fldChar w:fldCharType="separate"/>
        </w:r>
        <w:r w:rsidR="00D25C41">
          <w:rPr>
            <w:noProof/>
            <w:webHidden/>
            <w:sz w:val="24"/>
          </w:rPr>
          <w:t>1</w:t>
        </w:r>
        <w:r w:rsidR="008241F1" w:rsidRPr="00B13B73">
          <w:rPr>
            <w:noProof/>
            <w:webHidden/>
            <w:sz w:val="24"/>
          </w:rPr>
          <w:fldChar w:fldCharType="end"/>
        </w:r>
      </w:hyperlink>
    </w:p>
    <w:p w14:paraId="42ABBCA1" w14:textId="147179BE" w:rsidR="008241F1" w:rsidRPr="00B13B73" w:rsidRDefault="00311A0F">
      <w:pPr>
        <w:pStyle w:val="TOC2"/>
        <w:rPr>
          <w:rFonts w:asciiTheme="minorHAnsi" w:eastAsiaTheme="minorEastAsia" w:hAnsiTheme="minorHAnsi" w:cstheme="minorBidi"/>
          <w:sz w:val="24"/>
          <w:lang w:eastAsia="en-GB"/>
        </w:rPr>
      </w:pPr>
      <w:hyperlink w:anchor="_Toc31727296" w:history="1">
        <w:r w:rsidR="008241F1" w:rsidRPr="00B13B73">
          <w:rPr>
            <w:rStyle w:val="Hyperlink"/>
            <w:sz w:val="24"/>
          </w:rPr>
          <w:t>1.1</w:t>
        </w:r>
        <w:r w:rsidR="008241F1" w:rsidRPr="00B13B73">
          <w:rPr>
            <w:rFonts w:asciiTheme="minorHAnsi" w:eastAsiaTheme="minorEastAsia" w:hAnsiTheme="minorHAnsi" w:cstheme="minorBidi"/>
            <w:sz w:val="24"/>
            <w:lang w:eastAsia="en-GB"/>
          </w:rPr>
          <w:tab/>
        </w:r>
        <w:r w:rsidR="008241F1" w:rsidRPr="00B13B73">
          <w:rPr>
            <w:rStyle w:val="Hyperlink"/>
            <w:sz w:val="24"/>
          </w:rPr>
          <w:t>Background and AIMS</w:t>
        </w:r>
        <w:r w:rsidR="008241F1" w:rsidRPr="00B13B73">
          <w:rPr>
            <w:webHidden/>
            <w:sz w:val="24"/>
          </w:rPr>
          <w:tab/>
        </w:r>
        <w:r w:rsidR="008241F1" w:rsidRPr="00B13B73">
          <w:rPr>
            <w:webHidden/>
            <w:sz w:val="24"/>
          </w:rPr>
          <w:fldChar w:fldCharType="begin"/>
        </w:r>
        <w:r w:rsidR="008241F1" w:rsidRPr="00B13B73">
          <w:rPr>
            <w:webHidden/>
            <w:sz w:val="24"/>
          </w:rPr>
          <w:instrText xml:space="preserve"> PAGEREF _Toc31727296 \h </w:instrText>
        </w:r>
        <w:r w:rsidR="008241F1" w:rsidRPr="00B13B73">
          <w:rPr>
            <w:webHidden/>
            <w:sz w:val="24"/>
          </w:rPr>
        </w:r>
        <w:r w:rsidR="008241F1" w:rsidRPr="00B13B73">
          <w:rPr>
            <w:webHidden/>
            <w:sz w:val="24"/>
          </w:rPr>
          <w:fldChar w:fldCharType="separate"/>
        </w:r>
        <w:r w:rsidR="00D25C41">
          <w:rPr>
            <w:webHidden/>
            <w:sz w:val="24"/>
          </w:rPr>
          <w:t>1</w:t>
        </w:r>
        <w:r w:rsidR="008241F1" w:rsidRPr="00B13B73">
          <w:rPr>
            <w:webHidden/>
            <w:sz w:val="24"/>
          </w:rPr>
          <w:fldChar w:fldCharType="end"/>
        </w:r>
      </w:hyperlink>
    </w:p>
    <w:p w14:paraId="51703F22" w14:textId="2FF01E56" w:rsidR="008241F1" w:rsidRPr="00B13B73" w:rsidRDefault="00311A0F">
      <w:pPr>
        <w:pStyle w:val="TOC2"/>
        <w:rPr>
          <w:rFonts w:asciiTheme="minorHAnsi" w:eastAsiaTheme="minorEastAsia" w:hAnsiTheme="minorHAnsi" w:cstheme="minorBidi"/>
          <w:sz w:val="24"/>
          <w:lang w:eastAsia="en-GB"/>
        </w:rPr>
      </w:pPr>
      <w:hyperlink w:anchor="_Toc31727297" w:history="1">
        <w:r w:rsidR="008241F1" w:rsidRPr="00B13B73">
          <w:rPr>
            <w:rStyle w:val="Hyperlink"/>
            <w:sz w:val="24"/>
          </w:rPr>
          <w:t>1.2</w:t>
        </w:r>
        <w:r w:rsidR="008241F1" w:rsidRPr="00B13B73">
          <w:rPr>
            <w:rFonts w:asciiTheme="minorHAnsi" w:eastAsiaTheme="minorEastAsia" w:hAnsiTheme="minorHAnsi" w:cstheme="minorBidi"/>
            <w:sz w:val="24"/>
            <w:lang w:eastAsia="en-GB"/>
          </w:rPr>
          <w:tab/>
        </w:r>
        <w:r w:rsidR="008241F1" w:rsidRPr="00B13B73">
          <w:rPr>
            <w:rStyle w:val="Hyperlink"/>
            <w:sz w:val="24"/>
          </w:rPr>
          <w:t>Basic concepts in non-inferiority and equivalence trials</w:t>
        </w:r>
        <w:r w:rsidR="008241F1" w:rsidRPr="00B13B73">
          <w:rPr>
            <w:webHidden/>
            <w:sz w:val="24"/>
          </w:rPr>
          <w:tab/>
        </w:r>
        <w:r w:rsidR="008241F1" w:rsidRPr="00B13B73">
          <w:rPr>
            <w:webHidden/>
            <w:sz w:val="24"/>
          </w:rPr>
          <w:fldChar w:fldCharType="begin"/>
        </w:r>
        <w:r w:rsidR="008241F1" w:rsidRPr="00B13B73">
          <w:rPr>
            <w:webHidden/>
            <w:sz w:val="24"/>
          </w:rPr>
          <w:instrText xml:space="preserve"> PAGEREF _Toc31727297 \h </w:instrText>
        </w:r>
        <w:r w:rsidR="008241F1" w:rsidRPr="00B13B73">
          <w:rPr>
            <w:webHidden/>
            <w:sz w:val="24"/>
          </w:rPr>
        </w:r>
        <w:r w:rsidR="008241F1" w:rsidRPr="00B13B73">
          <w:rPr>
            <w:webHidden/>
            <w:sz w:val="24"/>
          </w:rPr>
          <w:fldChar w:fldCharType="separate"/>
        </w:r>
        <w:r w:rsidR="00D25C41">
          <w:rPr>
            <w:webHidden/>
            <w:sz w:val="24"/>
          </w:rPr>
          <w:t>2</w:t>
        </w:r>
        <w:r w:rsidR="008241F1" w:rsidRPr="00B13B73">
          <w:rPr>
            <w:webHidden/>
            <w:sz w:val="24"/>
          </w:rPr>
          <w:fldChar w:fldCharType="end"/>
        </w:r>
      </w:hyperlink>
    </w:p>
    <w:p w14:paraId="5A32E29A" w14:textId="10E31147" w:rsidR="008241F1" w:rsidRPr="00B13B73" w:rsidRDefault="00311A0F">
      <w:pPr>
        <w:pStyle w:val="TOC1"/>
        <w:rPr>
          <w:rFonts w:asciiTheme="minorHAnsi" w:eastAsiaTheme="minorEastAsia" w:hAnsiTheme="minorHAnsi" w:cstheme="minorBidi"/>
          <w:b w:val="0"/>
          <w:noProof/>
          <w:sz w:val="24"/>
          <w:lang w:eastAsia="en-GB"/>
        </w:rPr>
      </w:pPr>
      <w:hyperlink w:anchor="_Toc31727298" w:history="1">
        <w:r w:rsidR="008241F1" w:rsidRPr="00B13B73">
          <w:rPr>
            <w:rStyle w:val="Hyperlink"/>
            <w:noProof/>
            <w:sz w:val="24"/>
          </w:rPr>
          <w:t>Section 2:</w:t>
        </w:r>
        <w:r w:rsidR="008241F1" w:rsidRPr="00B13B73">
          <w:rPr>
            <w:rFonts w:asciiTheme="minorHAnsi" w:eastAsiaTheme="minorEastAsia" w:hAnsiTheme="minorHAnsi" w:cstheme="minorBidi"/>
            <w:b w:val="0"/>
            <w:noProof/>
            <w:sz w:val="24"/>
            <w:lang w:eastAsia="en-GB"/>
          </w:rPr>
          <w:tab/>
        </w:r>
        <w:r w:rsidR="008241F1" w:rsidRPr="00B13B73">
          <w:rPr>
            <w:rStyle w:val="Hyperlink"/>
            <w:noProof/>
            <w:sz w:val="24"/>
          </w:rPr>
          <w:t>Guidance on non-inferiority and equivalence from regulators</w:t>
        </w:r>
        <w:r w:rsidR="008241F1" w:rsidRPr="00B13B73">
          <w:rPr>
            <w:noProof/>
            <w:webHidden/>
            <w:sz w:val="24"/>
          </w:rPr>
          <w:tab/>
        </w:r>
        <w:r w:rsidR="008241F1" w:rsidRPr="00B13B73">
          <w:rPr>
            <w:noProof/>
            <w:webHidden/>
            <w:sz w:val="24"/>
          </w:rPr>
          <w:fldChar w:fldCharType="begin"/>
        </w:r>
        <w:r w:rsidR="008241F1" w:rsidRPr="00B13B73">
          <w:rPr>
            <w:noProof/>
            <w:webHidden/>
            <w:sz w:val="24"/>
          </w:rPr>
          <w:instrText xml:space="preserve"> PAGEREF _Toc31727298 \h </w:instrText>
        </w:r>
        <w:r w:rsidR="008241F1" w:rsidRPr="00B13B73">
          <w:rPr>
            <w:noProof/>
            <w:webHidden/>
            <w:sz w:val="24"/>
          </w:rPr>
        </w:r>
        <w:r w:rsidR="008241F1" w:rsidRPr="00B13B73">
          <w:rPr>
            <w:noProof/>
            <w:webHidden/>
            <w:sz w:val="24"/>
          </w:rPr>
          <w:fldChar w:fldCharType="separate"/>
        </w:r>
        <w:r w:rsidR="00D25C41">
          <w:rPr>
            <w:noProof/>
            <w:webHidden/>
            <w:sz w:val="24"/>
          </w:rPr>
          <w:t>5</w:t>
        </w:r>
        <w:r w:rsidR="008241F1" w:rsidRPr="00B13B73">
          <w:rPr>
            <w:noProof/>
            <w:webHidden/>
            <w:sz w:val="24"/>
          </w:rPr>
          <w:fldChar w:fldCharType="end"/>
        </w:r>
      </w:hyperlink>
    </w:p>
    <w:p w14:paraId="6D2C1352" w14:textId="00F49E5A" w:rsidR="008241F1" w:rsidRPr="00B13B73" w:rsidRDefault="00311A0F">
      <w:pPr>
        <w:pStyle w:val="TOC1"/>
        <w:rPr>
          <w:rFonts w:asciiTheme="minorHAnsi" w:eastAsiaTheme="minorEastAsia" w:hAnsiTheme="minorHAnsi" w:cstheme="minorBidi"/>
          <w:b w:val="0"/>
          <w:noProof/>
          <w:sz w:val="24"/>
          <w:lang w:eastAsia="en-GB"/>
        </w:rPr>
      </w:pPr>
      <w:hyperlink w:anchor="_Toc31727299" w:history="1">
        <w:r w:rsidR="008241F1" w:rsidRPr="00B13B73">
          <w:rPr>
            <w:rStyle w:val="Hyperlink"/>
            <w:noProof/>
            <w:sz w:val="24"/>
          </w:rPr>
          <w:t>Section 3:</w:t>
        </w:r>
        <w:r w:rsidR="008241F1" w:rsidRPr="00B13B73">
          <w:rPr>
            <w:rFonts w:asciiTheme="minorHAnsi" w:eastAsiaTheme="minorEastAsia" w:hAnsiTheme="minorHAnsi" w:cstheme="minorBidi"/>
            <w:b w:val="0"/>
            <w:noProof/>
            <w:sz w:val="24"/>
            <w:lang w:eastAsia="en-GB"/>
          </w:rPr>
          <w:tab/>
        </w:r>
        <w:r w:rsidR="008241F1" w:rsidRPr="00B13B73">
          <w:rPr>
            <w:rStyle w:val="Hyperlink"/>
            <w:noProof/>
            <w:sz w:val="24"/>
          </w:rPr>
          <w:t>Literature review</w:t>
        </w:r>
        <w:r w:rsidR="008241F1" w:rsidRPr="00B13B73">
          <w:rPr>
            <w:noProof/>
            <w:webHidden/>
            <w:sz w:val="24"/>
          </w:rPr>
          <w:tab/>
        </w:r>
        <w:r w:rsidR="008241F1" w:rsidRPr="00B13B73">
          <w:rPr>
            <w:noProof/>
            <w:webHidden/>
            <w:sz w:val="24"/>
          </w:rPr>
          <w:fldChar w:fldCharType="begin"/>
        </w:r>
        <w:r w:rsidR="008241F1" w:rsidRPr="00B13B73">
          <w:rPr>
            <w:noProof/>
            <w:webHidden/>
            <w:sz w:val="24"/>
          </w:rPr>
          <w:instrText xml:space="preserve"> PAGEREF _Toc31727299 \h </w:instrText>
        </w:r>
        <w:r w:rsidR="008241F1" w:rsidRPr="00B13B73">
          <w:rPr>
            <w:noProof/>
            <w:webHidden/>
            <w:sz w:val="24"/>
          </w:rPr>
        </w:r>
        <w:r w:rsidR="008241F1" w:rsidRPr="00B13B73">
          <w:rPr>
            <w:noProof/>
            <w:webHidden/>
            <w:sz w:val="24"/>
          </w:rPr>
          <w:fldChar w:fldCharType="separate"/>
        </w:r>
        <w:r w:rsidR="00D25C41">
          <w:rPr>
            <w:noProof/>
            <w:webHidden/>
            <w:sz w:val="24"/>
          </w:rPr>
          <w:t>16</w:t>
        </w:r>
        <w:r w:rsidR="008241F1" w:rsidRPr="00B13B73">
          <w:rPr>
            <w:noProof/>
            <w:webHidden/>
            <w:sz w:val="24"/>
          </w:rPr>
          <w:fldChar w:fldCharType="end"/>
        </w:r>
      </w:hyperlink>
    </w:p>
    <w:p w14:paraId="4EEE27C6" w14:textId="0FF73879" w:rsidR="008241F1" w:rsidRPr="00B13B73" w:rsidRDefault="00311A0F">
      <w:pPr>
        <w:pStyle w:val="TOC2"/>
        <w:rPr>
          <w:rFonts w:asciiTheme="minorHAnsi" w:eastAsiaTheme="minorEastAsia" w:hAnsiTheme="minorHAnsi" w:cstheme="minorBidi"/>
          <w:sz w:val="24"/>
          <w:lang w:eastAsia="en-GB"/>
        </w:rPr>
      </w:pPr>
      <w:hyperlink w:anchor="_Toc31727300" w:history="1">
        <w:r w:rsidR="008241F1" w:rsidRPr="00B13B73">
          <w:rPr>
            <w:rStyle w:val="Hyperlink"/>
            <w:sz w:val="24"/>
          </w:rPr>
          <w:t>3.1</w:t>
        </w:r>
        <w:r w:rsidR="008241F1" w:rsidRPr="00B13B73">
          <w:rPr>
            <w:rFonts w:asciiTheme="minorHAnsi" w:eastAsiaTheme="minorEastAsia" w:hAnsiTheme="minorHAnsi" w:cstheme="minorBidi"/>
            <w:sz w:val="24"/>
            <w:lang w:eastAsia="en-GB"/>
          </w:rPr>
          <w:tab/>
        </w:r>
        <w:r w:rsidR="008241F1" w:rsidRPr="00B13B73">
          <w:rPr>
            <w:rStyle w:val="Hyperlink"/>
            <w:sz w:val="24"/>
          </w:rPr>
          <w:t>Quality of non-inferiority/equivalence studies</w:t>
        </w:r>
        <w:r w:rsidR="008241F1" w:rsidRPr="00B13B73">
          <w:rPr>
            <w:webHidden/>
            <w:sz w:val="24"/>
          </w:rPr>
          <w:tab/>
        </w:r>
        <w:r w:rsidR="008241F1" w:rsidRPr="00B13B73">
          <w:rPr>
            <w:webHidden/>
            <w:sz w:val="24"/>
          </w:rPr>
          <w:fldChar w:fldCharType="begin"/>
        </w:r>
        <w:r w:rsidR="008241F1" w:rsidRPr="00B13B73">
          <w:rPr>
            <w:webHidden/>
            <w:sz w:val="24"/>
          </w:rPr>
          <w:instrText xml:space="preserve"> PAGEREF _Toc31727300 \h </w:instrText>
        </w:r>
        <w:r w:rsidR="008241F1" w:rsidRPr="00B13B73">
          <w:rPr>
            <w:webHidden/>
            <w:sz w:val="24"/>
          </w:rPr>
        </w:r>
        <w:r w:rsidR="008241F1" w:rsidRPr="00B13B73">
          <w:rPr>
            <w:webHidden/>
            <w:sz w:val="24"/>
          </w:rPr>
          <w:fldChar w:fldCharType="separate"/>
        </w:r>
        <w:r w:rsidR="00D25C41">
          <w:rPr>
            <w:webHidden/>
            <w:sz w:val="24"/>
          </w:rPr>
          <w:t>16</w:t>
        </w:r>
        <w:r w:rsidR="008241F1" w:rsidRPr="00B13B73">
          <w:rPr>
            <w:webHidden/>
            <w:sz w:val="24"/>
          </w:rPr>
          <w:fldChar w:fldCharType="end"/>
        </w:r>
      </w:hyperlink>
    </w:p>
    <w:p w14:paraId="2178C1DB" w14:textId="5FD49C50" w:rsidR="008241F1" w:rsidRPr="00B13B73" w:rsidRDefault="00311A0F">
      <w:pPr>
        <w:pStyle w:val="TOC2"/>
        <w:rPr>
          <w:rFonts w:asciiTheme="minorHAnsi" w:eastAsiaTheme="minorEastAsia" w:hAnsiTheme="minorHAnsi" w:cstheme="minorBidi"/>
          <w:sz w:val="24"/>
          <w:lang w:eastAsia="en-GB"/>
        </w:rPr>
      </w:pPr>
      <w:hyperlink w:anchor="_Toc31727301" w:history="1">
        <w:r w:rsidR="008241F1" w:rsidRPr="00B13B73">
          <w:rPr>
            <w:rStyle w:val="Hyperlink"/>
            <w:sz w:val="24"/>
          </w:rPr>
          <w:t>3.2</w:t>
        </w:r>
        <w:r w:rsidR="008241F1" w:rsidRPr="00B13B73">
          <w:rPr>
            <w:rFonts w:asciiTheme="minorHAnsi" w:eastAsiaTheme="minorEastAsia" w:hAnsiTheme="minorHAnsi" w:cstheme="minorBidi"/>
            <w:sz w:val="24"/>
            <w:lang w:eastAsia="en-GB"/>
          </w:rPr>
          <w:tab/>
        </w:r>
        <w:r w:rsidR="008241F1" w:rsidRPr="00B13B73">
          <w:rPr>
            <w:rStyle w:val="Hyperlink"/>
            <w:sz w:val="24"/>
          </w:rPr>
          <w:t>Methodological issues not covered in published guidelines</w:t>
        </w:r>
        <w:r w:rsidR="008241F1" w:rsidRPr="00B13B73">
          <w:rPr>
            <w:webHidden/>
            <w:sz w:val="24"/>
          </w:rPr>
          <w:tab/>
        </w:r>
        <w:r w:rsidR="008241F1" w:rsidRPr="00B13B73">
          <w:rPr>
            <w:webHidden/>
            <w:sz w:val="24"/>
          </w:rPr>
          <w:fldChar w:fldCharType="begin"/>
        </w:r>
        <w:r w:rsidR="008241F1" w:rsidRPr="00B13B73">
          <w:rPr>
            <w:webHidden/>
            <w:sz w:val="24"/>
          </w:rPr>
          <w:instrText xml:space="preserve"> PAGEREF _Toc31727301 \h </w:instrText>
        </w:r>
        <w:r w:rsidR="008241F1" w:rsidRPr="00B13B73">
          <w:rPr>
            <w:webHidden/>
            <w:sz w:val="24"/>
          </w:rPr>
        </w:r>
        <w:r w:rsidR="008241F1" w:rsidRPr="00B13B73">
          <w:rPr>
            <w:webHidden/>
            <w:sz w:val="24"/>
          </w:rPr>
          <w:fldChar w:fldCharType="separate"/>
        </w:r>
        <w:r w:rsidR="00D25C41">
          <w:rPr>
            <w:webHidden/>
            <w:sz w:val="24"/>
          </w:rPr>
          <w:t>18</w:t>
        </w:r>
        <w:r w:rsidR="008241F1" w:rsidRPr="00B13B73">
          <w:rPr>
            <w:webHidden/>
            <w:sz w:val="24"/>
          </w:rPr>
          <w:fldChar w:fldCharType="end"/>
        </w:r>
      </w:hyperlink>
    </w:p>
    <w:p w14:paraId="30B1A9C1" w14:textId="3CD440ED" w:rsidR="008241F1" w:rsidRPr="00B13B73" w:rsidRDefault="00311A0F">
      <w:pPr>
        <w:pStyle w:val="TOC1"/>
        <w:rPr>
          <w:rFonts w:asciiTheme="minorHAnsi" w:eastAsiaTheme="minorEastAsia" w:hAnsiTheme="minorHAnsi" w:cstheme="minorBidi"/>
          <w:b w:val="0"/>
          <w:noProof/>
          <w:sz w:val="24"/>
          <w:lang w:eastAsia="en-GB"/>
        </w:rPr>
      </w:pPr>
      <w:hyperlink w:anchor="_Toc31727302" w:history="1">
        <w:r w:rsidR="008241F1" w:rsidRPr="00B13B73">
          <w:rPr>
            <w:rStyle w:val="Hyperlink"/>
            <w:noProof/>
            <w:sz w:val="24"/>
          </w:rPr>
          <w:t>Section 4:</w:t>
        </w:r>
        <w:r w:rsidR="008241F1" w:rsidRPr="00B13B73">
          <w:rPr>
            <w:rFonts w:asciiTheme="minorHAnsi" w:eastAsiaTheme="minorEastAsia" w:hAnsiTheme="minorHAnsi" w:cstheme="minorBidi"/>
            <w:b w:val="0"/>
            <w:noProof/>
            <w:sz w:val="24"/>
            <w:lang w:eastAsia="en-GB"/>
          </w:rPr>
          <w:tab/>
        </w:r>
        <w:r w:rsidR="008241F1" w:rsidRPr="00B13B73">
          <w:rPr>
            <w:rStyle w:val="Hyperlink"/>
            <w:noProof/>
            <w:sz w:val="24"/>
          </w:rPr>
          <w:t>Interviews with stakeholders</w:t>
        </w:r>
        <w:r w:rsidR="008241F1" w:rsidRPr="00B13B73">
          <w:rPr>
            <w:noProof/>
            <w:webHidden/>
            <w:sz w:val="24"/>
          </w:rPr>
          <w:tab/>
        </w:r>
        <w:r w:rsidR="008241F1" w:rsidRPr="00B13B73">
          <w:rPr>
            <w:noProof/>
            <w:webHidden/>
            <w:sz w:val="24"/>
          </w:rPr>
          <w:fldChar w:fldCharType="begin"/>
        </w:r>
        <w:r w:rsidR="008241F1" w:rsidRPr="00B13B73">
          <w:rPr>
            <w:noProof/>
            <w:webHidden/>
            <w:sz w:val="24"/>
          </w:rPr>
          <w:instrText xml:space="preserve"> PAGEREF _Toc31727302 \h </w:instrText>
        </w:r>
        <w:r w:rsidR="008241F1" w:rsidRPr="00B13B73">
          <w:rPr>
            <w:noProof/>
            <w:webHidden/>
            <w:sz w:val="24"/>
          </w:rPr>
        </w:r>
        <w:r w:rsidR="008241F1" w:rsidRPr="00B13B73">
          <w:rPr>
            <w:noProof/>
            <w:webHidden/>
            <w:sz w:val="24"/>
          </w:rPr>
          <w:fldChar w:fldCharType="separate"/>
        </w:r>
        <w:r w:rsidR="00D25C41">
          <w:rPr>
            <w:noProof/>
            <w:webHidden/>
            <w:sz w:val="24"/>
          </w:rPr>
          <w:t>20</w:t>
        </w:r>
        <w:r w:rsidR="008241F1" w:rsidRPr="00B13B73">
          <w:rPr>
            <w:noProof/>
            <w:webHidden/>
            <w:sz w:val="24"/>
          </w:rPr>
          <w:fldChar w:fldCharType="end"/>
        </w:r>
      </w:hyperlink>
    </w:p>
    <w:p w14:paraId="2ACA179F" w14:textId="5E461F91" w:rsidR="008241F1" w:rsidRPr="00B13B73" w:rsidRDefault="00311A0F">
      <w:pPr>
        <w:pStyle w:val="TOC1"/>
        <w:rPr>
          <w:rFonts w:asciiTheme="minorHAnsi" w:eastAsiaTheme="minorEastAsia" w:hAnsiTheme="minorHAnsi" w:cstheme="minorBidi"/>
          <w:b w:val="0"/>
          <w:noProof/>
          <w:sz w:val="24"/>
          <w:lang w:eastAsia="en-GB"/>
        </w:rPr>
      </w:pPr>
      <w:hyperlink w:anchor="_Toc31727303" w:history="1">
        <w:r w:rsidR="008241F1" w:rsidRPr="00B13B73">
          <w:rPr>
            <w:rStyle w:val="Hyperlink"/>
            <w:noProof/>
            <w:sz w:val="24"/>
          </w:rPr>
          <w:t>Section 5:</w:t>
        </w:r>
        <w:r w:rsidR="008241F1" w:rsidRPr="00B13B73">
          <w:rPr>
            <w:rFonts w:asciiTheme="minorHAnsi" w:eastAsiaTheme="minorEastAsia" w:hAnsiTheme="minorHAnsi" w:cstheme="minorBidi"/>
            <w:b w:val="0"/>
            <w:noProof/>
            <w:sz w:val="24"/>
            <w:lang w:eastAsia="en-GB"/>
          </w:rPr>
          <w:tab/>
        </w:r>
        <w:r w:rsidR="008241F1" w:rsidRPr="00B13B73">
          <w:rPr>
            <w:rStyle w:val="Hyperlink"/>
            <w:noProof/>
            <w:sz w:val="24"/>
          </w:rPr>
          <w:t>Discussion</w:t>
        </w:r>
        <w:r w:rsidR="008241F1" w:rsidRPr="00B13B73">
          <w:rPr>
            <w:noProof/>
            <w:webHidden/>
            <w:sz w:val="24"/>
          </w:rPr>
          <w:tab/>
        </w:r>
        <w:r w:rsidR="008241F1" w:rsidRPr="00B13B73">
          <w:rPr>
            <w:noProof/>
            <w:webHidden/>
            <w:sz w:val="24"/>
          </w:rPr>
          <w:fldChar w:fldCharType="begin"/>
        </w:r>
        <w:r w:rsidR="008241F1" w:rsidRPr="00B13B73">
          <w:rPr>
            <w:noProof/>
            <w:webHidden/>
            <w:sz w:val="24"/>
          </w:rPr>
          <w:instrText xml:space="preserve"> PAGEREF _Toc31727303 \h </w:instrText>
        </w:r>
        <w:r w:rsidR="008241F1" w:rsidRPr="00B13B73">
          <w:rPr>
            <w:noProof/>
            <w:webHidden/>
            <w:sz w:val="24"/>
          </w:rPr>
        </w:r>
        <w:r w:rsidR="008241F1" w:rsidRPr="00B13B73">
          <w:rPr>
            <w:noProof/>
            <w:webHidden/>
            <w:sz w:val="24"/>
          </w:rPr>
          <w:fldChar w:fldCharType="separate"/>
        </w:r>
        <w:r w:rsidR="00D25C41">
          <w:rPr>
            <w:noProof/>
            <w:webHidden/>
            <w:sz w:val="24"/>
          </w:rPr>
          <w:t>22</w:t>
        </w:r>
        <w:r w:rsidR="008241F1" w:rsidRPr="00B13B73">
          <w:rPr>
            <w:noProof/>
            <w:webHidden/>
            <w:sz w:val="24"/>
          </w:rPr>
          <w:fldChar w:fldCharType="end"/>
        </w:r>
      </w:hyperlink>
    </w:p>
    <w:p w14:paraId="25F905AE" w14:textId="05C19BCC" w:rsidR="008241F1" w:rsidRPr="00B13B73" w:rsidRDefault="00311A0F">
      <w:pPr>
        <w:pStyle w:val="TOC1"/>
        <w:rPr>
          <w:rFonts w:asciiTheme="minorHAnsi" w:eastAsiaTheme="minorEastAsia" w:hAnsiTheme="minorHAnsi" w:cstheme="minorBidi"/>
          <w:b w:val="0"/>
          <w:noProof/>
          <w:sz w:val="24"/>
          <w:lang w:eastAsia="en-GB"/>
        </w:rPr>
      </w:pPr>
      <w:hyperlink w:anchor="_Toc31727304" w:history="1">
        <w:r w:rsidR="008241F1" w:rsidRPr="00B13B73">
          <w:rPr>
            <w:rStyle w:val="Hyperlink"/>
            <w:noProof/>
            <w:sz w:val="24"/>
          </w:rPr>
          <w:t>Section 6:</w:t>
        </w:r>
        <w:r w:rsidR="008241F1" w:rsidRPr="00B13B73">
          <w:rPr>
            <w:rFonts w:asciiTheme="minorHAnsi" w:eastAsiaTheme="minorEastAsia" w:hAnsiTheme="minorHAnsi" w:cstheme="minorBidi"/>
            <w:b w:val="0"/>
            <w:noProof/>
            <w:sz w:val="24"/>
            <w:lang w:eastAsia="en-GB"/>
          </w:rPr>
          <w:tab/>
        </w:r>
        <w:r w:rsidR="008241F1" w:rsidRPr="00B13B73">
          <w:rPr>
            <w:rStyle w:val="Hyperlink"/>
            <w:noProof/>
            <w:sz w:val="24"/>
          </w:rPr>
          <w:t>Recommendations</w:t>
        </w:r>
        <w:r w:rsidR="008241F1" w:rsidRPr="00B13B73">
          <w:rPr>
            <w:noProof/>
            <w:webHidden/>
            <w:sz w:val="24"/>
          </w:rPr>
          <w:tab/>
        </w:r>
        <w:r w:rsidR="008241F1" w:rsidRPr="00B13B73">
          <w:rPr>
            <w:noProof/>
            <w:webHidden/>
            <w:sz w:val="24"/>
          </w:rPr>
          <w:fldChar w:fldCharType="begin"/>
        </w:r>
        <w:r w:rsidR="008241F1" w:rsidRPr="00B13B73">
          <w:rPr>
            <w:noProof/>
            <w:webHidden/>
            <w:sz w:val="24"/>
          </w:rPr>
          <w:instrText xml:space="preserve"> PAGEREF _Toc31727304 \h </w:instrText>
        </w:r>
        <w:r w:rsidR="008241F1" w:rsidRPr="00B13B73">
          <w:rPr>
            <w:noProof/>
            <w:webHidden/>
            <w:sz w:val="24"/>
          </w:rPr>
        </w:r>
        <w:r w:rsidR="008241F1" w:rsidRPr="00B13B73">
          <w:rPr>
            <w:noProof/>
            <w:webHidden/>
            <w:sz w:val="24"/>
          </w:rPr>
          <w:fldChar w:fldCharType="separate"/>
        </w:r>
        <w:r w:rsidR="00D25C41">
          <w:rPr>
            <w:noProof/>
            <w:webHidden/>
            <w:sz w:val="24"/>
          </w:rPr>
          <w:t>26</w:t>
        </w:r>
        <w:r w:rsidR="008241F1" w:rsidRPr="00B13B73">
          <w:rPr>
            <w:noProof/>
            <w:webHidden/>
            <w:sz w:val="24"/>
          </w:rPr>
          <w:fldChar w:fldCharType="end"/>
        </w:r>
      </w:hyperlink>
    </w:p>
    <w:p w14:paraId="7FFE8A58" w14:textId="51471879" w:rsidR="00612C69" w:rsidRPr="00B13B73" w:rsidRDefault="00263091">
      <w:pPr>
        <w:pStyle w:val="TOC2"/>
        <w:rPr>
          <w:rFonts w:cs="Arial"/>
          <w:sz w:val="24"/>
        </w:rPr>
      </w:pPr>
      <w:r w:rsidRPr="00B13B73">
        <w:rPr>
          <w:rFonts w:cs="Arial"/>
          <w:sz w:val="24"/>
        </w:rPr>
        <w:fldChar w:fldCharType="end"/>
      </w:r>
    </w:p>
    <w:p w14:paraId="630E577D" w14:textId="77777777" w:rsidR="00612C69" w:rsidRPr="00B13B73" w:rsidRDefault="00612C69">
      <w:pPr>
        <w:rPr>
          <w:rFonts w:cs="Arial"/>
        </w:rPr>
      </w:pPr>
    </w:p>
    <w:p w14:paraId="383F4AA0" w14:textId="77777777" w:rsidR="00612C69" w:rsidRPr="00B13B73" w:rsidRDefault="00612C69">
      <w:pPr>
        <w:rPr>
          <w:rFonts w:ascii="Arial" w:hAnsi="Arial" w:cs="Arial"/>
          <w:b/>
          <w:bCs/>
        </w:rPr>
      </w:pPr>
      <w:r w:rsidRPr="00B13B73">
        <w:rPr>
          <w:rFonts w:ascii="Arial" w:hAnsi="Arial" w:cs="Arial"/>
          <w:b/>
          <w:bCs/>
        </w:rPr>
        <w:t>References</w:t>
      </w:r>
    </w:p>
    <w:p w14:paraId="6F1EAB66" w14:textId="6072D5D9" w:rsidR="00D138E7" w:rsidRPr="00B13B73" w:rsidRDefault="00D138E7">
      <w:pPr>
        <w:rPr>
          <w:rFonts w:ascii="Arial" w:hAnsi="Arial" w:cs="Arial"/>
          <w:b/>
          <w:bCs/>
        </w:rPr>
      </w:pPr>
    </w:p>
    <w:p w14:paraId="3082D3D4" w14:textId="77777777" w:rsidR="008241F1" w:rsidRPr="00B13B73" w:rsidRDefault="008241F1">
      <w:pPr>
        <w:rPr>
          <w:rFonts w:ascii="Arial" w:hAnsi="Arial" w:cs="Arial"/>
          <w:b/>
          <w:bCs/>
        </w:rPr>
      </w:pPr>
    </w:p>
    <w:p w14:paraId="06A248A4" w14:textId="121CB65C" w:rsidR="00D138E7" w:rsidRPr="00B13B73" w:rsidRDefault="008241F1" w:rsidP="008241F1">
      <w:pPr>
        <w:ind w:left="1418" w:hanging="1418"/>
        <w:rPr>
          <w:rFonts w:ascii="Arial" w:hAnsi="Arial" w:cs="Arial"/>
          <w:b/>
          <w:bCs/>
        </w:rPr>
      </w:pPr>
      <w:r w:rsidRPr="00B13B73">
        <w:rPr>
          <w:rFonts w:ascii="Arial" w:hAnsi="Arial" w:cs="Arial"/>
          <w:b/>
          <w:bCs/>
        </w:rPr>
        <w:t>Appendix A:</w:t>
      </w:r>
      <w:r w:rsidRPr="00B13B73">
        <w:rPr>
          <w:rFonts w:ascii="Arial" w:hAnsi="Arial" w:cs="Arial"/>
          <w:b/>
          <w:bCs/>
        </w:rPr>
        <w:tab/>
        <w:t>CONSORT checklist</w:t>
      </w:r>
    </w:p>
    <w:p w14:paraId="1AC9744D" w14:textId="77777777" w:rsidR="00612C69" w:rsidRPr="00B13B73" w:rsidRDefault="00612C69">
      <w:pPr>
        <w:rPr>
          <w:rFonts w:cs="Arial"/>
        </w:rPr>
      </w:pPr>
    </w:p>
    <w:p w14:paraId="3D7F74B5" w14:textId="77777777" w:rsidR="00612C69" w:rsidRPr="00B13B73" w:rsidRDefault="00612C69">
      <w:pPr>
        <w:rPr>
          <w:rFonts w:cs="Arial"/>
        </w:rPr>
      </w:pPr>
    </w:p>
    <w:p w14:paraId="5DAD0936" w14:textId="77777777" w:rsidR="00612C69" w:rsidRPr="00612C69" w:rsidRDefault="00612C69">
      <w:pPr>
        <w:ind w:left="2040" w:hanging="2040"/>
        <w:rPr>
          <w:rFonts w:cs="Arial"/>
          <w:b/>
          <w:bCs/>
          <w:szCs w:val="22"/>
        </w:rPr>
      </w:pPr>
    </w:p>
    <w:p w14:paraId="52474511" w14:textId="77777777" w:rsidR="00612C69" w:rsidRPr="00612C69" w:rsidRDefault="00612C69">
      <w:pPr>
        <w:ind w:left="2040" w:hanging="2040"/>
        <w:rPr>
          <w:rFonts w:cs="Arial"/>
          <w:b/>
          <w:bCs/>
          <w:szCs w:val="22"/>
        </w:rPr>
      </w:pPr>
    </w:p>
    <w:p w14:paraId="13317EF6" w14:textId="77777777" w:rsidR="00612C69" w:rsidRPr="00612C69" w:rsidRDefault="00612C69">
      <w:pPr>
        <w:pBdr>
          <w:bottom w:val="single" w:sz="4" w:space="1" w:color="auto"/>
        </w:pBdr>
        <w:spacing w:before="60"/>
        <w:outlineLvl w:val="0"/>
        <w:rPr>
          <w:rFonts w:cs="Arial"/>
          <w:szCs w:val="22"/>
        </w:rPr>
        <w:sectPr w:rsidR="00612C69" w:rsidRPr="00612C69">
          <w:headerReference w:type="default" r:id="rId11"/>
          <w:footerReference w:type="default" r:id="rId12"/>
          <w:type w:val="nextColumn"/>
          <w:pgSz w:w="11906" w:h="16838" w:code="9"/>
          <w:pgMar w:top="992" w:right="1440" w:bottom="1134" w:left="1440" w:header="703" w:footer="527" w:gutter="0"/>
          <w:pgNumType w:start="1"/>
          <w:cols w:space="708"/>
          <w:docGrid w:linePitch="360"/>
        </w:sectPr>
      </w:pPr>
    </w:p>
    <w:p w14:paraId="6CE0586A" w14:textId="77777777" w:rsidR="00612C69" w:rsidRPr="00612C69" w:rsidRDefault="00612C69">
      <w:pPr>
        <w:pStyle w:val="Heading1"/>
      </w:pPr>
      <w:bookmarkStart w:id="1" w:name="_Toc58308354"/>
      <w:bookmarkStart w:id="2" w:name="_Toc31727295"/>
      <w:r w:rsidRPr="00612C69">
        <w:lastRenderedPageBreak/>
        <w:t>Introduction</w:t>
      </w:r>
      <w:bookmarkEnd w:id="1"/>
      <w:bookmarkEnd w:id="2"/>
    </w:p>
    <w:p w14:paraId="75ACCB6C" w14:textId="77777777" w:rsidR="00612C69" w:rsidRPr="00612C69" w:rsidRDefault="00612C69">
      <w:pPr>
        <w:pStyle w:val="ReportText"/>
        <w:rPr>
          <w:rFonts w:cs="Arial"/>
        </w:rPr>
      </w:pPr>
    </w:p>
    <w:p w14:paraId="0104E440" w14:textId="77777777" w:rsidR="00612C69" w:rsidRPr="00612C69" w:rsidRDefault="00612C69">
      <w:pPr>
        <w:pStyle w:val="ReportText"/>
        <w:rPr>
          <w:rFonts w:cs="Arial"/>
        </w:rPr>
      </w:pPr>
    </w:p>
    <w:p w14:paraId="33B52206" w14:textId="77777777" w:rsidR="00612C69" w:rsidRPr="00612C69" w:rsidRDefault="00612C69" w:rsidP="001B6832">
      <w:pPr>
        <w:pStyle w:val="ReportText"/>
        <w:jc w:val="left"/>
        <w:rPr>
          <w:rFonts w:cs="Arial"/>
        </w:rPr>
      </w:pPr>
    </w:p>
    <w:p w14:paraId="46E7118E" w14:textId="26DDEB00" w:rsidR="00612C69" w:rsidRPr="00B13B73" w:rsidRDefault="00AB0135" w:rsidP="001B6832">
      <w:pPr>
        <w:pStyle w:val="Heading2"/>
        <w:jc w:val="left"/>
        <w:rPr>
          <w:sz w:val="24"/>
          <w:szCs w:val="24"/>
        </w:rPr>
      </w:pPr>
      <w:bookmarkStart w:id="3" w:name="_Toc31727296"/>
      <w:r w:rsidRPr="00B13B73">
        <w:rPr>
          <w:sz w:val="24"/>
          <w:szCs w:val="24"/>
        </w:rPr>
        <w:t>B</w:t>
      </w:r>
      <w:r w:rsidR="0007745A" w:rsidRPr="00B13B73">
        <w:rPr>
          <w:sz w:val="24"/>
          <w:szCs w:val="24"/>
        </w:rPr>
        <w:t xml:space="preserve">ackground and </w:t>
      </w:r>
      <w:r w:rsidR="00FC046B" w:rsidRPr="00B13B73">
        <w:rPr>
          <w:sz w:val="24"/>
          <w:szCs w:val="24"/>
        </w:rPr>
        <w:t>AIMS</w:t>
      </w:r>
      <w:bookmarkEnd w:id="3"/>
    </w:p>
    <w:p w14:paraId="1A8FA011" w14:textId="77777777" w:rsidR="0007745A" w:rsidRPr="00B13B73" w:rsidRDefault="0007745A" w:rsidP="001B6832"/>
    <w:p w14:paraId="195D2A44" w14:textId="022B47D9" w:rsidR="00850A80" w:rsidRPr="00B13B73" w:rsidRDefault="00850A80" w:rsidP="001B6832">
      <w:pPr>
        <w:pStyle w:val="ReportText"/>
        <w:jc w:val="left"/>
        <w:rPr>
          <w:rFonts w:cs="Arial"/>
          <w:sz w:val="24"/>
          <w:szCs w:val="24"/>
        </w:rPr>
      </w:pPr>
      <w:r w:rsidRPr="00B13B73">
        <w:rPr>
          <w:rFonts w:cs="Arial"/>
          <w:sz w:val="24"/>
          <w:szCs w:val="24"/>
        </w:rPr>
        <w:t xml:space="preserve">In the assessment of the cost-effectiveness of technologies by NICE, when a technology can be robustly evidenced to generate at least the same </w:t>
      </w:r>
      <w:r w:rsidR="00C3045A" w:rsidRPr="00B13B73">
        <w:rPr>
          <w:rFonts w:cs="Arial"/>
          <w:sz w:val="24"/>
          <w:szCs w:val="24"/>
        </w:rPr>
        <w:t>q</w:t>
      </w:r>
      <w:r w:rsidRPr="00B13B73">
        <w:rPr>
          <w:rFonts w:cs="Arial"/>
          <w:sz w:val="24"/>
          <w:szCs w:val="24"/>
        </w:rPr>
        <w:t>uality</w:t>
      </w:r>
      <w:r w:rsidR="00C3045A" w:rsidRPr="00B13B73">
        <w:rPr>
          <w:rFonts w:cs="Arial"/>
          <w:sz w:val="24"/>
          <w:szCs w:val="24"/>
        </w:rPr>
        <w:t>-a</w:t>
      </w:r>
      <w:r w:rsidRPr="00B13B73">
        <w:rPr>
          <w:rFonts w:cs="Arial"/>
          <w:sz w:val="24"/>
          <w:szCs w:val="24"/>
        </w:rPr>
        <w:t xml:space="preserve">djusted </w:t>
      </w:r>
      <w:r w:rsidR="00C3045A" w:rsidRPr="00B13B73">
        <w:rPr>
          <w:rFonts w:cs="Arial"/>
          <w:sz w:val="24"/>
          <w:szCs w:val="24"/>
        </w:rPr>
        <w:t>l</w:t>
      </w:r>
      <w:r w:rsidRPr="00B13B73">
        <w:rPr>
          <w:rFonts w:cs="Arial"/>
          <w:sz w:val="24"/>
          <w:szCs w:val="24"/>
        </w:rPr>
        <w:t xml:space="preserve">ife </w:t>
      </w:r>
      <w:r w:rsidR="00C3045A" w:rsidRPr="00B13B73">
        <w:rPr>
          <w:rFonts w:cs="Arial"/>
          <w:sz w:val="24"/>
          <w:szCs w:val="24"/>
        </w:rPr>
        <w:t>y</w:t>
      </w:r>
      <w:r w:rsidRPr="00B13B73">
        <w:rPr>
          <w:rFonts w:cs="Arial"/>
          <w:sz w:val="24"/>
          <w:szCs w:val="24"/>
        </w:rPr>
        <w:t xml:space="preserve">ears (QALYs) as </w:t>
      </w:r>
      <w:r w:rsidR="00C3045A" w:rsidRPr="00B13B73">
        <w:rPr>
          <w:rFonts w:cs="Arial"/>
          <w:sz w:val="24"/>
          <w:szCs w:val="24"/>
        </w:rPr>
        <w:t xml:space="preserve">an </w:t>
      </w:r>
      <w:r w:rsidRPr="00B13B73">
        <w:rPr>
          <w:rFonts w:cs="Arial"/>
          <w:sz w:val="24"/>
          <w:szCs w:val="24"/>
        </w:rPr>
        <w:t>existing technology</w:t>
      </w:r>
      <w:r w:rsidR="00C3045A" w:rsidRPr="00B13B73">
        <w:rPr>
          <w:rFonts w:cs="Arial"/>
          <w:sz w:val="24"/>
          <w:szCs w:val="24"/>
        </w:rPr>
        <w:t xml:space="preserve"> </w:t>
      </w:r>
      <w:r w:rsidRPr="00B13B73">
        <w:rPr>
          <w:rFonts w:cs="Arial"/>
          <w:sz w:val="24"/>
          <w:szCs w:val="24"/>
        </w:rPr>
        <w:t>(</w:t>
      </w:r>
      <w:r w:rsidR="00C3045A" w:rsidRPr="00B13B73">
        <w:rPr>
          <w:rFonts w:cs="Arial"/>
          <w:sz w:val="24"/>
          <w:szCs w:val="24"/>
        </w:rPr>
        <w:t>or technologie</w:t>
      </w:r>
      <w:r w:rsidRPr="00B13B73">
        <w:rPr>
          <w:rFonts w:cs="Arial"/>
          <w:sz w:val="24"/>
          <w:szCs w:val="24"/>
        </w:rPr>
        <w:t xml:space="preserve">s) the opportunity can arise to undertake a cost minimisation analysis (CMA) as opposed to a cost-utility analysis (CUA). </w:t>
      </w:r>
    </w:p>
    <w:p w14:paraId="262B4414" w14:textId="77777777" w:rsidR="00850A80" w:rsidRPr="00B13B73" w:rsidRDefault="00850A80" w:rsidP="001B6832"/>
    <w:p w14:paraId="64DF70C8" w14:textId="77777777" w:rsidR="00850A80" w:rsidRPr="00B13B73" w:rsidRDefault="00850A80" w:rsidP="001B6832">
      <w:pPr>
        <w:pStyle w:val="ReportText"/>
        <w:jc w:val="left"/>
        <w:rPr>
          <w:rFonts w:cs="Arial"/>
          <w:sz w:val="24"/>
          <w:szCs w:val="24"/>
        </w:rPr>
      </w:pPr>
      <w:r w:rsidRPr="00B13B73">
        <w:rPr>
          <w:rFonts w:cs="Arial"/>
          <w:sz w:val="24"/>
          <w:szCs w:val="24"/>
        </w:rPr>
        <w:t>CMA is primarily used in two circumstances by NICE:</w:t>
      </w:r>
    </w:p>
    <w:p w14:paraId="6AF6875D" w14:textId="77777777" w:rsidR="00850A80" w:rsidRPr="00B13B73" w:rsidRDefault="00850A80" w:rsidP="001B6832">
      <w:r w:rsidRPr="00B13B73">
        <w:t xml:space="preserve"> </w:t>
      </w:r>
    </w:p>
    <w:p w14:paraId="0EB3EB68" w14:textId="6BD59163" w:rsidR="00850A80" w:rsidRPr="00B13B73" w:rsidRDefault="00850A80" w:rsidP="001B6832">
      <w:pPr>
        <w:pStyle w:val="ReportText"/>
        <w:numPr>
          <w:ilvl w:val="0"/>
          <w:numId w:val="3"/>
        </w:numPr>
        <w:ind w:left="851" w:hanging="851"/>
        <w:jc w:val="left"/>
        <w:rPr>
          <w:rFonts w:cs="Arial"/>
          <w:sz w:val="24"/>
          <w:szCs w:val="24"/>
        </w:rPr>
      </w:pPr>
      <w:r w:rsidRPr="00B13B73">
        <w:rPr>
          <w:rFonts w:cs="Arial"/>
          <w:sz w:val="24"/>
          <w:szCs w:val="24"/>
        </w:rPr>
        <w:t>In the Fast Track Appraisal (FTA) process as part of the Technology Appraisal (TA) process</w:t>
      </w:r>
    </w:p>
    <w:p w14:paraId="275AA88F" w14:textId="7445BA71" w:rsidR="00850A80" w:rsidRPr="00B13B73" w:rsidRDefault="00850A80" w:rsidP="001B6832">
      <w:pPr>
        <w:pStyle w:val="ReportText"/>
        <w:numPr>
          <w:ilvl w:val="0"/>
          <w:numId w:val="3"/>
        </w:numPr>
        <w:ind w:left="851" w:hanging="851"/>
        <w:jc w:val="left"/>
        <w:rPr>
          <w:rFonts w:cs="Arial"/>
          <w:sz w:val="24"/>
          <w:szCs w:val="24"/>
        </w:rPr>
      </w:pPr>
      <w:r w:rsidRPr="00B13B73">
        <w:rPr>
          <w:rFonts w:cs="Arial"/>
          <w:sz w:val="24"/>
          <w:szCs w:val="24"/>
        </w:rPr>
        <w:t xml:space="preserve">In the Medical Technologies Evaluation Programme (MTEP), </w:t>
      </w:r>
      <w:r w:rsidR="00F75C59" w:rsidRPr="00B13B73">
        <w:rPr>
          <w:rFonts w:cs="Arial"/>
          <w:sz w:val="24"/>
          <w:szCs w:val="24"/>
        </w:rPr>
        <w:t>for devices and</w:t>
      </w:r>
      <w:r w:rsidRPr="00B13B73">
        <w:rPr>
          <w:rFonts w:cs="Arial"/>
          <w:sz w:val="24"/>
          <w:szCs w:val="24"/>
        </w:rPr>
        <w:t xml:space="preserve"> diagnostic technologies </w:t>
      </w:r>
    </w:p>
    <w:p w14:paraId="5C013D21" w14:textId="77777777" w:rsidR="00850A80" w:rsidRPr="00B13B73" w:rsidRDefault="00850A80" w:rsidP="001B6832"/>
    <w:p w14:paraId="36930A42" w14:textId="320E7890" w:rsidR="00850A80" w:rsidRPr="00B13B73" w:rsidRDefault="00850A80" w:rsidP="001B6832">
      <w:pPr>
        <w:pStyle w:val="ReportText"/>
        <w:jc w:val="left"/>
        <w:rPr>
          <w:rFonts w:cs="Arial"/>
          <w:sz w:val="24"/>
          <w:szCs w:val="24"/>
        </w:rPr>
      </w:pPr>
      <w:r w:rsidRPr="00B13B73">
        <w:rPr>
          <w:rFonts w:cs="Arial"/>
          <w:sz w:val="24"/>
          <w:szCs w:val="24"/>
        </w:rPr>
        <w:t xml:space="preserve">This </w:t>
      </w:r>
      <w:r w:rsidR="00C3045A" w:rsidRPr="00B13B73">
        <w:rPr>
          <w:rFonts w:cs="Arial"/>
          <w:sz w:val="24"/>
          <w:szCs w:val="24"/>
        </w:rPr>
        <w:t xml:space="preserve">paper </w:t>
      </w:r>
      <w:r w:rsidRPr="00B13B73">
        <w:rPr>
          <w:rFonts w:cs="Arial"/>
          <w:sz w:val="24"/>
          <w:szCs w:val="24"/>
        </w:rPr>
        <w:t xml:space="preserve">provides recommendations how NICE can assess the plausibility of claims of non-inferiority </w:t>
      </w:r>
      <w:r w:rsidR="00E5599D" w:rsidRPr="00B13B73">
        <w:rPr>
          <w:rFonts w:cs="Arial"/>
          <w:sz w:val="24"/>
          <w:szCs w:val="24"/>
        </w:rPr>
        <w:t xml:space="preserve">(NI) </w:t>
      </w:r>
      <w:r w:rsidRPr="00B13B73">
        <w:rPr>
          <w:rFonts w:cs="Arial"/>
          <w:sz w:val="24"/>
          <w:szCs w:val="24"/>
        </w:rPr>
        <w:t>or equivalence for drugs in the TA programme</w:t>
      </w:r>
      <w:r w:rsidR="0013045C" w:rsidRPr="00B13B73">
        <w:rPr>
          <w:rFonts w:cs="Arial"/>
          <w:sz w:val="24"/>
          <w:szCs w:val="24"/>
        </w:rPr>
        <w:t xml:space="preserve">, </w:t>
      </w:r>
      <w:r w:rsidRPr="00B13B73">
        <w:rPr>
          <w:rFonts w:cs="Arial"/>
          <w:sz w:val="24"/>
          <w:szCs w:val="24"/>
        </w:rPr>
        <w:t>medical devices or diagnostic technologies for MTEP</w:t>
      </w:r>
      <w:r w:rsidR="0013045C" w:rsidRPr="00B13B73">
        <w:rPr>
          <w:rFonts w:cs="Arial"/>
          <w:sz w:val="24"/>
          <w:szCs w:val="24"/>
        </w:rPr>
        <w:t xml:space="preserve"> and potential diagnostics in the Diagnostics Assessment Programme (DAP)</w:t>
      </w:r>
      <w:r w:rsidRPr="00B13B73">
        <w:rPr>
          <w:rFonts w:cs="Arial"/>
          <w:sz w:val="24"/>
          <w:szCs w:val="24"/>
        </w:rPr>
        <w:t>, covering</w:t>
      </w:r>
      <w:r w:rsidR="00C3045A" w:rsidRPr="00B13B73">
        <w:rPr>
          <w:rFonts w:cs="Arial"/>
          <w:sz w:val="24"/>
          <w:szCs w:val="24"/>
        </w:rPr>
        <w:t>:</w:t>
      </w:r>
      <w:r w:rsidRPr="00B13B73">
        <w:rPr>
          <w:rFonts w:cs="Arial"/>
          <w:sz w:val="24"/>
          <w:szCs w:val="24"/>
        </w:rPr>
        <w:t xml:space="preserve"> </w:t>
      </w:r>
    </w:p>
    <w:p w14:paraId="41FD55B3" w14:textId="77777777" w:rsidR="00850A80" w:rsidRPr="00B13B73" w:rsidRDefault="00850A80" w:rsidP="001B6832"/>
    <w:p w14:paraId="372C9F3A" w14:textId="77777777" w:rsidR="00850A80" w:rsidRPr="00B13B73" w:rsidRDefault="00850A80" w:rsidP="001B6832">
      <w:pPr>
        <w:pStyle w:val="ReportText"/>
        <w:numPr>
          <w:ilvl w:val="0"/>
          <w:numId w:val="3"/>
        </w:numPr>
        <w:ind w:left="851" w:hanging="851"/>
        <w:jc w:val="left"/>
        <w:rPr>
          <w:rFonts w:cs="Arial"/>
          <w:sz w:val="24"/>
          <w:szCs w:val="24"/>
        </w:rPr>
      </w:pPr>
      <w:r w:rsidRPr="00B13B73">
        <w:rPr>
          <w:rFonts w:cs="Arial"/>
          <w:sz w:val="24"/>
          <w:szCs w:val="24"/>
        </w:rPr>
        <w:t>Evidence that can be used to assess non-inferiority or equivalence</w:t>
      </w:r>
    </w:p>
    <w:p w14:paraId="2ECD980F" w14:textId="3E7204BD" w:rsidR="00850A80" w:rsidRPr="00B13B73" w:rsidRDefault="00850A80" w:rsidP="001B6832">
      <w:pPr>
        <w:pStyle w:val="ReportText"/>
        <w:numPr>
          <w:ilvl w:val="0"/>
          <w:numId w:val="3"/>
        </w:numPr>
        <w:ind w:left="851" w:hanging="851"/>
        <w:jc w:val="left"/>
        <w:rPr>
          <w:rFonts w:cs="Arial"/>
          <w:sz w:val="24"/>
          <w:szCs w:val="24"/>
        </w:rPr>
      </w:pPr>
      <w:r w:rsidRPr="00B13B73">
        <w:rPr>
          <w:rFonts w:cs="Arial"/>
          <w:sz w:val="24"/>
          <w:szCs w:val="24"/>
        </w:rPr>
        <w:t>How the quality of non-inferiority and equivalence studies and the choice of non-inferiority margins should be assessed</w:t>
      </w:r>
    </w:p>
    <w:p w14:paraId="204F3DBC" w14:textId="7EB6200C" w:rsidR="00850A80" w:rsidRPr="00B13B73" w:rsidRDefault="00850A80" w:rsidP="001B6832">
      <w:pPr>
        <w:pStyle w:val="ReportText"/>
        <w:numPr>
          <w:ilvl w:val="0"/>
          <w:numId w:val="3"/>
        </w:numPr>
        <w:ind w:left="851" w:hanging="851"/>
        <w:jc w:val="left"/>
        <w:rPr>
          <w:rFonts w:cs="Arial"/>
          <w:sz w:val="24"/>
          <w:szCs w:val="24"/>
        </w:rPr>
      </w:pPr>
      <w:r w:rsidRPr="00B13B73">
        <w:rPr>
          <w:rFonts w:cs="Arial"/>
          <w:sz w:val="24"/>
          <w:szCs w:val="24"/>
        </w:rPr>
        <w:t>Interpretation of evidence from non-inferiority and equivalence studies</w:t>
      </w:r>
    </w:p>
    <w:p w14:paraId="2BF878ED" w14:textId="7643ECA5" w:rsidR="006B2A9A" w:rsidRPr="00B13B73" w:rsidRDefault="006B2A9A" w:rsidP="001B6832">
      <w:pPr>
        <w:pStyle w:val="ReportText"/>
        <w:jc w:val="left"/>
        <w:rPr>
          <w:rFonts w:cs="Arial"/>
          <w:sz w:val="24"/>
          <w:szCs w:val="24"/>
        </w:rPr>
      </w:pPr>
    </w:p>
    <w:p w14:paraId="26DA59E6" w14:textId="00E946BA" w:rsidR="006B2A9A" w:rsidRPr="00B13B73" w:rsidRDefault="006B2A9A" w:rsidP="001B6832">
      <w:pPr>
        <w:pStyle w:val="ReportText"/>
        <w:jc w:val="left"/>
        <w:rPr>
          <w:rFonts w:cs="Arial"/>
          <w:sz w:val="24"/>
          <w:szCs w:val="24"/>
        </w:rPr>
      </w:pPr>
      <w:r w:rsidRPr="00B13B73">
        <w:rPr>
          <w:rFonts w:cs="Arial"/>
          <w:sz w:val="24"/>
          <w:szCs w:val="24"/>
        </w:rPr>
        <w:t xml:space="preserve">The </w:t>
      </w:r>
      <w:r w:rsidR="00C3045A" w:rsidRPr="00B13B73">
        <w:rPr>
          <w:rFonts w:cs="Arial"/>
          <w:sz w:val="24"/>
          <w:szCs w:val="24"/>
        </w:rPr>
        <w:t xml:space="preserve">paper </w:t>
      </w:r>
      <w:r w:rsidRPr="00B13B73">
        <w:rPr>
          <w:rFonts w:cs="Arial"/>
          <w:sz w:val="24"/>
          <w:szCs w:val="24"/>
        </w:rPr>
        <w:t xml:space="preserve">is </w:t>
      </w:r>
      <w:r w:rsidRPr="00B13B73">
        <w:rPr>
          <w:rFonts w:cs="Arial"/>
          <w:i/>
          <w:sz w:val="24"/>
          <w:szCs w:val="24"/>
        </w:rPr>
        <w:t>not</w:t>
      </w:r>
      <w:r w:rsidRPr="00B13B73">
        <w:rPr>
          <w:rFonts w:cs="Arial"/>
          <w:sz w:val="24"/>
          <w:szCs w:val="24"/>
        </w:rPr>
        <w:t xml:space="preserve"> designed to provide a detailed statistical methodology on how non-inferiority and equivalence trials should be designed and analysed.</w:t>
      </w:r>
    </w:p>
    <w:p w14:paraId="1B001750" w14:textId="77777777" w:rsidR="00850A80" w:rsidRPr="00B13B73" w:rsidRDefault="00850A80" w:rsidP="001B6832"/>
    <w:p w14:paraId="6D8B0C83" w14:textId="29C65E6C" w:rsidR="00850A80" w:rsidRPr="00B13B73" w:rsidRDefault="00850A80" w:rsidP="001B6832">
      <w:pPr>
        <w:pStyle w:val="ReportText"/>
        <w:jc w:val="left"/>
        <w:rPr>
          <w:rFonts w:cs="Arial"/>
          <w:sz w:val="24"/>
          <w:szCs w:val="24"/>
        </w:rPr>
      </w:pPr>
      <w:r w:rsidRPr="00B13B73">
        <w:rPr>
          <w:rFonts w:cs="Arial"/>
          <w:sz w:val="24"/>
          <w:szCs w:val="24"/>
        </w:rPr>
        <w:t xml:space="preserve">Occasions can arise where a submission is made to </w:t>
      </w:r>
      <w:r w:rsidR="00C3045A" w:rsidRPr="00B13B73">
        <w:rPr>
          <w:rFonts w:cs="Arial"/>
          <w:sz w:val="24"/>
          <w:szCs w:val="24"/>
        </w:rPr>
        <w:t xml:space="preserve">NICE claiming </w:t>
      </w:r>
      <w:r w:rsidRPr="00B13B73">
        <w:rPr>
          <w:rFonts w:cs="Arial"/>
          <w:sz w:val="24"/>
          <w:szCs w:val="24"/>
        </w:rPr>
        <w:t xml:space="preserve">superiority for a technology with a cost-utility analysis, but the statistical evidence from clinical trials is inconclusive as to whether the technology is superior. </w:t>
      </w:r>
      <w:r w:rsidR="00C3045A" w:rsidRPr="00B13B73">
        <w:rPr>
          <w:rFonts w:cs="Arial"/>
          <w:sz w:val="24"/>
          <w:szCs w:val="24"/>
        </w:rPr>
        <w:t xml:space="preserve"> </w:t>
      </w:r>
      <w:r w:rsidRPr="00B13B73">
        <w:rPr>
          <w:rFonts w:cs="Arial"/>
          <w:sz w:val="24"/>
          <w:szCs w:val="24"/>
        </w:rPr>
        <w:t xml:space="preserve">This </w:t>
      </w:r>
      <w:r w:rsidR="00C3045A" w:rsidRPr="00B13B73">
        <w:rPr>
          <w:rFonts w:cs="Arial"/>
          <w:sz w:val="24"/>
          <w:szCs w:val="24"/>
        </w:rPr>
        <w:t xml:space="preserve">paper </w:t>
      </w:r>
      <w:r w:rsidRPr="00B13B73">
        <w:rPr>
          <w:rFonts w:cs="Arial"/>
          <w:sz w:val="24"/>
          <w:szCs w:val="24"/>
        </w:rPr>
        <w:t xml:space="preserve">explicitly does not make recommendations in such a situation, but the recommendations made in this </w:t>
      </w:r>
      <w:r w:rsidR="00C3045A" w:rsidRPr="00B13B73">
        <w:rPr>
          <w:rFonts w:cs="Arial"/>
          <w:sz w:val="24"/>
          <w:szCs w:val="24"/>
        </w:rPr>
        <w:t xml:space="preserve">paper </w:t>
      </w:r>
      <w:r w:rsidRPr="00B13B73">
        <w:rPr>
          <w:rFonts w:cs="Arial"/>
          <w:sz w:val="24"/>
          <w:szCs w:val="24"/>
        </w:rPr>
        <w:t xml:space="preserve">may be used as a basis to reappraise the evidence presented by the company within a non-inferiority or equivalence framework.  </w:t>
      </w:r>
      <w:r w:rsidR="00DC02AE" w:rsidRPr="00B13B73">
        <w:rPr>
          <w:rFonts w:cs="Arial"/>
          <w:sz w:val="24"/>
          <w:szCs w:val="24"/>
        </w:rPr>
        <w:t xml:space="preserve">In addition, the </w:t>
      </w:r>
      <w:r w:rsidR="00C3045A" w:rsidRPr="00B13B73">
        <w:rPr>
          <w:rFonts w:cs="Arial"/>
          <w:sz w:val="24"/>
          <w:szCs w:val="24"/>
        </w:rPr>
        <w:t xml:space="preserve">paper </w:t>
      </w:r>
      <w:r w:rsidR="00DC02AE" w:rsidRPr="00B13B73">
        <w:rPr>
          <w:rFonts w:cs="Arial"/>
          <w:sz w:val="24"/>
          <w:szCs w:val="24"/>
        </w:rPr>
        <w:t xml:space="preserve">does not </w:t>
      </w:r>
      <w:r w:rsidR="004B2AB6" w:rsidRPr="00B13B73">
        <w:rPr>
          <w:rFonts w:cs="Arial"/>
          <w:sz w:val="24"/>
          <w:szCs w:val="24"/>
        </w:rPr>
        <w:t xml:space="preserve">specifically </w:t>
      </w:r>
      <w:r w:rsidR="00DC02AE" w:rsidRPr="00B13B73">
        <w:rPr>
          <w:rFonts w:cs="Arial"/>
          <w:sz w:val="24"/>
          <w:szCs w:val="24"/>
        </w:rPr>
        <w:t>deal with</w:t>
      </w:r>
      <w:r w:rsidR="004B2AB6" w:rsidRPr="00B13B73">
        <w:rPr>
          <w:rFonts w:cs="Arial"/>
          <w:sz w:val="24"/>
          <w:szCs w:val="24"/>
        </w:rPr>
        <w:t xml:space="preserve"> considerations for the assessment of</w:t>
      </w:r>
      <w:r w:rsidR="00DC02AE" w:rsidRPr="00B13B73">
        <w:rPr>
          <w:rFonts w:cs="Arial"/>
          <w:sz w:val="24"/>
          <w:szCs w:val="24"/>
        </w:rPr>
        <w:t xml:space="preserve"> biosimilar medicines.</w:t>
      </w:r>
      <w:r w:rsidR="006B2A9A" w:rsidRPr="00B13B73">
        <w:rPr>
          <w:rFonts w:cs="Arial"/>
          <w:sz w:val="24"/>
          <w:szCs w:val="24"/>
        </w:rPr>
        <w:t xml:space="preserve">  </w:t>
      </w:r>
    </w:p>
    <w:p w14:paraId="767A1D94" w14:textId="45CDA163" w:rsidR="006B2A9A" w:rsidRPr="00B13B73" w:rsidRDefault="006B2A9A" w:rsidP="001B6832">
      <w:pPr>
        <w:pStyle w:val="ReportText"/>
        <w:jc w:val="left"/>
        <w:rPr>
          <w:rFonts w:cs="Arial"/>
          <w:sz w:val="24"/>
          <w:szCs w:val="24"/>
        </w:rPr>
      </w:pPr>
    </w:p>
    <w:p w14:paraId="0A40F34F" w14:textId="3A211BF8" w:rsidR="003F7C5E" w:rsidRPr="00B13B73" w:rsidRDefault="003F7C5E" w:rsidP="001B6832">
      <w:pPr>
        <w:pStyle w:val="ReportText"/>
        <w:jc w:val="left"/>
        <w:rPr>
          <w:rFonts w:cs="Arial"/>
          <w:sz w:val="24"/>
          <w:szCs w:val="24"/>
        </w:rPr>
      </w:pPr>
      <w:r w:rsidRPr="00B13B73">
        <w:rPr>
          <w:rFonts w:cs="Arial"/>
          <w:sz w:val="24"/>
          <w:szCs w:val="24"/>
        </w:rPr>
        <w:t xml:space="preserve">Activities undertaken to meet the aims of the </w:t>
      </w:r>
      <w:r w:rsidR="00C3045A" w:rsidRPr="00B13B73">
        <w:rPr>
          <w:rFonts w:cs="Arial"/>
          <w:sz w:val="24"/>
          <w:szCs w:val="24"/>
        </w:rPr>
        <w:t xml:space="preserve">paper </w:t>
      </w:r>
      <w:r w:rsidRPr="00B13B73">
        <w:rPr>
          <w:rFonts w:cs="Arial"/>
          <w:sz w:val="24"/>
          <w:szCs w:val="24"/>
        </w:rPr>
        <w:t>included</w:t>
      </w:r>
      <w:r w:rsidR="00C3045A" w:rsidRPr="00B13B73">
        <w:rPr>
          <w:rFonts w:cs="Arial"/>
          <w:sz w:val="24"/>
          <w:szCs w:val="24"/>
        </w:rPr>
        <w:t>:</w:t>
      </w:r>
      <w:r w:rsidRPr="00B13B73">
        <w:rPr>
          <w:rFonts w:cs="Arial"/>
          <w:sz w:val="24"/>
          <w:szCs w:val="24"/>
        </w:rPr>
        <w:t xml:space="preserve"> </w:t>
      </w:r>
    </w:p>
    <w:p w14:paraId="63D708EA" w14:textId="77777777" w:rsidR="003F7C5E" w:rsidRPr="00B13B73" w:rsidRDefault="003F7C5E" w:rsidP="001B6832">
      <w:pPr>
        <w:pStyle w:val="ReportText"/>
        <w:jc w:val="left"/>
        <w:rPr>
          <w:rFonts w:cs="Arial"/>
          <w:sz w:val="24"/>
          <w:szCs w:val="24"/>
        </w:rPr>
      </w:pPr>
    </w:p>
    <w:p w14:paraId="6067CE0E" w14:textId="353DED8C" w:rsidR="003F7C5E" w:rsidRPr="00B13B73" w:rsidRDefault="00652F5A" w:rsidP="001B6832">
      <w:pPr>
        <w:pStyle w:val="ReportText"/>
        <w:numPr>
          <w:ilvl w:val="0"/>
          <w:numId w:val="3"/>
        </w:numPr>
        <w:ind w:left="851" w:hanging="851"/>
        <w:jc w:val="left"/>
        <w:rPr>
          <w:rFonts w:cs="Arial"/>
          <w:sz w:val="24"/>
          <w:szCs w:val="24"/>
        </w:rPr>
      </w:pPr>
      <w:r w:rsidRPr="00B13B73">
        <w:rPr>
          <w:rFonts w:cs="Arial"/>
          <w:sz w:val="24"/>
          <w:szCs w:val="24"/>
        </w:rPr>
        <w:lastRenderedPageBreak/>
        <w:t>A</w:t>
      </w:r>
      <w:r w:rsidR="003F7C5E" w:rsidRPr="00B13B73">
        <w:rPr>
          <w:rFonts w:cs="Arial"/>
          <w:sz w:val="24"/>
          <w:szCs w:val="24"/>
        </w:rPr>
        <w:t xml:space="preserve"> review of approaches suggested by the FDA, EMA and MHRA on how non-inferiority and equivalence trials should be undertaken and analysed</w:t>
      </w:r>
    </w:p>
    <w:p w14:paraId="5C288B6D" w14:textId="51419323" w:rsidR="003F7C5E" w:rsidRPr="00B13B73" w:rsidRDefault="00652F5A" w:rsidP="001B6832">
      <w:pPr>
        <w:pStyle w:val="ReportText"/>
        <w:numPr>
          <w:ilvl w:val="0"/>
          <w:numId w:val="3"/>
        </w:numPr>
        <w:ind w:left="851" w:hanging="851"/>
        <w:jc w:val="left"/>
        <w:rPr>
          <w:rFonts w:cs="Arial"/>
          <w:sz w:val="24"/>
          <w:szCs w:val="24"/>
        </w:rPr>
      </w:pPr>
      <w:r w:rsidRPr="00B13B73">
        <w:rPr>
          <w:rFonts w:cs="Arial"/>
          <w:sz w:val="24"/>
          <w:szCs w:val="24"/>
        </w:rPr>
        <w:t>A</w:t>
      </w:r>
      <w:r w:rsidR="00850A80" w:rsidRPr="00B13B73">
        <w:rPr>
          <w:rFonts w:cs="Arial"/>
          <w:sz w:val="24"/>
          <w:szCs w:val="24"/>
        </w:rPr>
        <w:t xml:space="preserve"> targeted review of published literature on </w:t>
      </w:r>
      <w:r w:rsidR="003F7C5E" w:rsidRPr="00B13B73">
        <w:rPr>
          <w:rFonts w:cs="Arial"/>
          <w:sz w:val="24"/>
          <w:szCs w:val="24"/>
        </w:rPr>
        <w:t xml:space="preserve">how </w:t>
      </w:r>
      <w:r w:rsidR="00850A80" w:rsidRPr="00B13B73">
        <w:rPr>
          <w:rFonts w:cs="Arial"/>
          <w:sz w:val="24"/>
          <w:szCs w:val="24"/>
        </w:rPr>
        <w:t>non-inferiority and equivalence trial</w:t>
      </w:r>
      <w:r w:rsidR="003F7C5E" w:rsidRPr="00B13B73">
        <w:rPr>
          <w:rFonts w:cs="Arial"/>
          <w:sz w:val="24"/>
          <w:szCs w:val="24"/>
        </w:rPr>
        <w:t>s are being undertaken and reported in practice and on specific methodology issues related to diagnostics and indirect treatment comparisons</w:t>
      </w:r>
    </w:p>
    <w:p w14:paraId="29993D9B" w14:textId="06A8055D" w:rsidR="00612C69" w:rsidRPr="00B13B73" w:rsidRDefault="00652F5A" w:rsidP="001B6832">
      <w:pPr>
        <w:pStyle w:val="ReportText"/>
        <w:numPr>
          <w:ilvl w:val="0"/>
          <w:numId w:val="3"/>
        </w:numPr>
        <w:ind w:left="851" w:hanging="851"/>
        <w:jc w:val="left"/>
        <w:rPr>
          <w:rFonts w:cs="Arial"/>
          <w:sz w:val="24"/>
          <w:szCs w:val="24"/>
        </w:rPr>
      </w:pPr>
      <w:r w:rsidRPr="00B13B73">
        <w:rPr>
          <w:rFonts w:cs="Arial"/>
          <w:sz w:val="24"/>
          <w:szCs w:val="24"/>
        </w:rPr>
        <w:t>I</w:t>
      </w:r>
      <w:r w:rsidR="003F7C5E" w:rsidRPr="00B13B73">
        <w:rPr>
          <w:rFonts w:cs="Arial"/>
          <w:sz w:val="24"/>
          <w:szCs w:val="24"/>
        </w:rPr>
        <w:t xml:space="preserve">nterviews </w:t>
      </w:r>
      <w:r w:rsidR="00850A80" w:rsidRPr="00B13B73">
        <w:rPr>
          <w:rFonts w:cs="Arial"/>
          <w:sz w:val="24"/>
          <w:szCs w:val="24"/>
        </w:rPr>
        <w:t>with key stakeholders within NICE and on NICE TA committees, along with health economists, medical statisticians and clinical trialists and an expert on MTEP submissions</w:t>
      </w:r>
      <w:r w:rsidR="003F7C5E" w:rsidRPr="00B13B73">
        <w:rPr>
          <w:rFonts w:cs="Arial"/>
          <w:sz w:val="24"/>
          <w:szCs w:val="24"/>
        </w:rPr>
        <w:t xml:space="preserve"> to verify findings </w:t>
      </w:r>
      <w:r w:rsidR="0007745A" w:rsidRPr="00B13B73">
        <w:rPr>
          <w:rFonts w:cs="Arial"/>
          <w:sz w:val="24"/>
          <w:szCs w:val="24"/>
        </w:rPr>
        <w:t>and</w:t>
      </w:r>
      <w:r w:rsidR="003F7C5E" w:rsidRPr="00B13B73">
        <w:rPr>
          <w:rFonts w:cs="Arial"/>
          <w:sz w:val="24"/>
          <w:szCs w:val="24"/>
        </w:rPr>
        <w:t xml:space="preserve"> help formulate potential recommendations</w:t>
      </w:r>
    </w:p>
    <w:p w14:paraId="27430C9F" w14:textId="77777777" w:rsidR="00612C69" w:rsidRPr="00B13B73" w:rsidRDefault="00612C69" w:rsidP="001B6832">
      <w:pPr>
        <w:pStyle w:val="ReportText"/>
        <w:jc w:val="left"/>
        <w:rPr>
          <w:rFonts w:cs="Arial"/>
          <w:sz w:val="24"/>
          <w:szCs w:val="24"/>
        </w:rPr>
      </w:pPr>
    </w:p>
    <w:p w14:paraId="52480A80" w14:textId="77777777" w:rsidR="00612C69" w:rsidRPr="00B13B73" w:rsidRDefault="00612C69" w:rsidP="001B6832">
      <w:pPr>
        <w:pStyle w:val="ReportText"/>
        <w:jc w:val="left"/>
        <w:rPr>
          <w:rFonts w:cs="Arial"/>
          <w:sz w:val="24"/>
          <w:szCs w:val="24"/>
        </w:rPr>
      </w:pPr>
    </w:p>
    <w:p w14:paraId="30C7A911" w14:textId="233ABE8E" w:rsidR="0042503D" w:rsidRPr="00B13B73" w:rsidRDefault="00AB0135" w:rsidP="001B6832">
      <w:pPr>
        <w:pStyle w:val="Heading2"/>
        <w:jc w:val="left"/>
        <w:rPr>
          <w:sz w:val="24"/>
          <w:szCs w:val="24"/>
        </w:rPr>
      </w:pPr>
      <w:bookmarkStart w:id="4" w:name="_Toc31727297"/>
      <w:r w:rsidRPr="00B13B73">
        <w:rPr>
          <w:sz w:val="24"/>
          <w:szCs w:val="24"/>
        </w:rPr>
        <w:t>B</w:t>
      </w:r>
      <w:r w:rsidR="0007745A" w:rsidRPr="00B13B73">
        <w:rPr>
          <w:sz w:val="24"/>
          <w:szCs w:val="24"/>
        </w:rPr>
        <w:t>asic concepts in non-inferiority and equivalence trials</w:t>
      </w:r>
      <w:bookmarkEnd w:id="4"/>
    </w:p>
    <w:p w14:paraId="4F058043" w14:textId="4D753FED" w:rsidR="00C2289E" w:rsidRPr="00B13B73" w:rsidRDefault="00C2289E" w:rsidP="001B6832"/>
    <w:p w14:paraId="32F58788" w14:textId="5D50B65F" w:rsidR="005E2DAB" w:rsidRPr="00B13B73" w:rsidRDefault="005E2DAB" w:rsidP="001B6832">
      <w:pPr>
        <w:spacing w:before="40" w:after="20"/>
        <w:rPr>
          <w:rFonts w:ascii="Arial" w:hAnsi="Arial" w:cs="Arial"/>
          <w:b/>
        </w:rPr>
      </w:pPr>
      <w:r w:rsidRPr="00B13B73">
        <w:rPr>
          <w:rFonts w:ascii="Arial" w:hAnsi="Arial" w:cs="Arial"/>
          <w:b/>
        </w:rPr>
        <w:t xml:space="preserve">Equivalence </w:t>
      </w:r>
      <w:r w:rsidR="00652F5A" w:rsidRPr="00B13B73">
        <w:rPr>
          <w:rFonts w:ascii="Arial" w:hAnsi="Arial" w:cs="Arial"/>
          <w:b/>
        </w:rPr>
        <w:t>t</w:t>
      </w:r>
      <w:r w:rsidRPr="00B13B73">
        <w:rPr>
          <w:rFonts w:ascii="Arial" w:hAnsi="Arial" w:cs="Arial"/>
          <w:b/>
        </w:rPr>
        <w:t>rial</w:t>
      </w:r>
    </w:p>
    <w:p w14:paraId="1A6D2E6C" w14:textId="77777777" w:rsidR="00652F5A" w:rsidRPr="00B13B73" w:rsidRDefault="00652F5A" w:rsidP="001B6832">
      <w:pPr>
        <w:pStyle w:val="ReportText"/>
        <w:jc w:val="left"/>
        <w:rPr>
          <w:rFonts w:cs="Arial"/>
          <w:sz w:val="24"/>
          <w:szCs w:val="24"/>
        </w:rPr>
      </w:pPr>
    </w:p>
    <w:p w14:paraId="105D4C8B" w14:textId="46825234" w:rsidR="005E2DAB" w:rsidRPr="00B13B73" w:rsidRDefault="005E2DAB" w:rsidP="001B6832">
      <w:pPr>
        <w:pStyle w:val="ReportText"/>
        <w:jc w:val="left"/>
        <w:rPr>
          <w:rFonts w:cs="Arial"/>
          <w:sz w:val="24"/>
          <w:szCs w:val="24"/>
        </w:rPr>
      </w:pPr>
      <w:r w:rsidRPr="00B13B73">
        <w:rPr>
          <w:rFonts w:cs="Arial"/>
          <w:sz w:val="24"/>
          <w:szCs w:val="24"/>
        </w:rPr>
        <w:t xml:space="preserve">A trial </w:t>
      </w:r>
      <w:r w:rsidR="00121207" w:rsidRPr="00B13B73">
        <w:rPr>
          <w:rFonts w:cs="Arial"/>
          <w:sz w:val="24"/>
          <w:szCs w:val="24"/>
        </w:rPr>
        <w:t>where the aim</w:t>
      </w:r>
      <w:r w:rsidRPr="00B13B73">
        <w:rPr>
          <w:rFonts w:cs="Arial"/>
          <w:sz w:val="24"/>
          <w:szCs w:val="24"/>
        </w:rPr>
        <w:t xml:space="preserve"> </w:t>
      </w:r>
      <w:r w:rsidR="00121207" w:rsidRPr="00B13B73">
        <w:rPr>
          <w:rFonts w:cs="Arial"/>
          <w:sz w:val="24"/>
          <w:szCs w:val="24"/>
        </w:rPr>
        <w:t xml:space="preserve">is to </w:t>
      </w:r>
      <w:r w:rsidRPr="00B13B73">
        <w:rPr>
          <w:rFonts w:cs="Arial"/>
          <w:sz w:val="24"/>
          <w:szCs w:val="24"/>
        </w:rPr>
        <w:t>show that the</w:t>
      </w:r>
      <w:r w:rsidR="00121207" w:rsidRPr="00B13B73">
        <w:rPr>
          <w:rFonts w:cs="Arial"/>
          <w:sz w:val="24"/>
          <w:szCs w:val="24"/>
        </w:rPr>
        <w:t xml:space="preserve"> difference in</w:t>
      </w:r>
      <w:r w:rsidRPr="00B13B73">
        <w:rPr>
          <w:rFonts w:cs="Arial"/>
          <w:sz w:val="24"/>
          <w:szCs w:val="24"/>
        </w:rPr>
        <w:t xml:space="preserve"> </w:t>
      </w:r>
      <w:r w:rsidR="00121207" w:rsidRPr="00B13B73">
        <w:rPr>
          <w:rFonts w:cs="Arial"/>
          <w:sz w:val="24"/>
          <w:szCs w:val="24"/>
        </w:rPr>
        <w:t>effectiveness</w:t>
      </w:r>
      <w:r w:rsidRPr="00B13B73">
        <w:rPr>
          <w:rFonts w:cs="Arial"/>
          <w:sz w:val="24"/>
          <w:szCs w:val="24"/>
        </w:rPr>
        <w:t xml:space="preserve"> </w:t>
      </w:r>
      <w:r w:rsidR="00121207" w:rsidRPr="00B13B73">
        <w:rPr>
          <w:rFonts w:cs="Arial"/>
          <w:sz w:val="24"/>
          <w:szCs w:val="24"/>
        </w:rPr>
        <w:t>between two or more technologies</w:t>
      </w:r>
      <w:r w:rsidRPr="00B13B73">
        <w:rPr>
          <w:rFonts w:cs="Arial"/>
          <w:sz w:val="24"/>
          <w:szCs w:val="24"/>
        </w:rPr>
        <w:t xml:space="preserve"> differs by </w:t>
      </w:r>
      <w:r w:rsidR="00121207" w:rsidRPr="00B13B73">
        <w:rPr>
          <w:rFonts w:cs="Arial"/>
          <w:sz w:val="24"/>
          <w:szCs w:val="24"/>
        </w:rPr>
        <w:t>a</w:t>
      </w:r>
      <w:r w:rsidRPr="00B13B73">
        <w:rPr>
          <w:rFonts w:cs="Arial"/>
          <w:sz w:val="24"/>
          <w:szCs w:val="24"/>
        </w:rPr>
        <w:t xml:space="preserve"> clinically unimportant</w:t>
      </w:r>
      <w:r w:rsidR="00121207" w:rsidRPr="00B13B73">
        <w:rPr>
          <w:rFonts w:cs="Arial"/>
          <w:sz w:val="24"/>
          <w:szCs w:val="24"/>
        </w:rPr>
        <w:t xml:space="preserve"> amount</w:t>
      </w:r>
      <w:r w:rsidRPr="00B13B73">
        <w:rPr>
          <w:rFonts w:cs="Arial"/>
          <w:sz w:val="24"/>
          <w:szCs w:val="24"/>
        </w:rPr>
        <w:t xml:space="preserve">. </w:t>
      </w:r>
    </w:p>
    <w:p w14:paraId="664E25B1" w14:textId="77777777" w:rsidR="005E2DAB" w:rsidRPr="00B13B73" w:rsidRDefault="005E2DAB" w:rsidP="001B6832">
      <w:pPr>
        <w:spacing w:before="40" w:after="20"/>
      </w:pPr>
    </w:p>
    <w:p w14:paraId="5F08F627" w14:textId="61392D7C" w:rsidR="005E2DAB" w:rsidRPr="00B13B73" w:rsidRDefault="005E2DAB" w:rsidP="001B6832">
      <w:pPr>
        <w:spacing w:before="40" w:after="20"/>
        <w:rPr>
          <w:rFonts w:ascii="Arial" w:hAnsi="Arial" w:cs="Arial"/>
          <w:b/>
        </w:rPr>
      </w:pPr>
      <w:r w:rsidRPr="00B13B73">
        <w:rPr>
          <w:rFonts w:ascii="Arial" w:hAnsi="Arial" w:cs="Arial"/>
          <w:b/>
        </w:rPr>
        <w:t>Non-</w:t>
      </w:r>
      <w:r w:rsidR="00652F5A" w:rsidRPr="00B13B73">
        <w:rPr>
          <w:rFonts w:ascii="Arial" w:hAnsi="Arial" w:cs="Arial"/>
          <w:b/>
        </w:rPr>
        <w:t>i</w:t>
      </w:r>
      <w:r w:rsidRPr="00B13B73">
        <w:rPr>
          <w:rFonts w:ascii="Arial" w:hAnsi="Arial" w:cs="Arial"/>
          <w:b/>
        </w:rPr>
        <w:t xml:space="preserve">nferiority </w:t>
      </w:r>
      <w:r w:rsidR="00652F5A" w:rsidRPr="00B13B73">
        <w:rPr>
          <w:rFonts w:ascii="Arial" w:hAnsi="Arial" w:cs="Arial"/>
          <w:b/>
        </w:rPr>
        <w:t>t</w:t>
      </w:r>
      <w:r w:rsidRPr="00B13B73">
        <w:rPr>
          <w:rFonts w:ascii="Arial" w:hAnsi="Arial" w:cs="Arial"/>
          <w:b/>
        </w:rPr>
        <w:t>rial</w:t>
      </w:r>
    </w:p>
    <w:p w14:paraId="0A8EB447" w14:textId="77777777" w:rsidR="00652F5A" w:rsidRPr="00B13B73" w:rsidRDefault="00652F5A" w:rsidP="001B6832">
      <w:pPr>
        <w:spacing w:before="40" w:after="20"/>
        <w:rPr>
          <w:rFonts w:ascii="Arial" w:hAnsi="Arial" w:cs="Arial"/>
          <w:b/>
        </w:rPr>
      </w:pPr>
    </w:p>
    <w:p w14:paraId="208AE28A" w14:textId="231EBB35" w:rsidR="001C714D" w:rsidRPr="00B13B73" w:rsidRDefault="00121207" w:rsidP="001B6832">
      <w:pPr>
        <w:pStyle w:val="ReportText"/>
        <w:jc w:val="left"/>
        <w:rPr>
          <w:rFonts w:cs="Arial"/>
          <w:sz w:val="24"/>
          <w:szCs w:val="24"/>
        </w:rPr>
      </w:pPr>
      <w:r w:rsidRPr="00B13B73">
        <w:rPr>
          <w:rFonts w:cs="Arial"/>
          <w:sz w:val="24"/>
          <w:szCs w:val="24"/>
        </w:rPr>
        <w:t xml:space="preserve">A trial where the aim is to show that the effectiveness of one technology </w:t>
      </w:r>
      <w:r w:rsidR="005E2DAB" w:rsidRPr="00B13B73">
        <w:rPr>
          <w:rFonts w:cs="Arial"/>
          <w:sz w:val="24"/>
          <w:szCs w:val="24"/>
        </w:rPr>
        <w:t xml:space="preserve">is not inferior to a </w:t>
      </w:r>
      <w:r w:rsidRPr="00B13B73">
        <w:rPr>
          <w:rFonts w:cs="Arial"/>
          <w:sz w:val="24"/>
          <w:szCs w:val="24"/>
        </w:rPr>
        <w:t>comparator technology</w:t>
      </w:r>
      <w:r w:rsidR="00340597" w:rsidRPr="00B13B73">
        <w:rPr>
          <w:rFonts w:cs="Arial"/>
          <w:sz w:val="24"/>
          <w:szCs w:val="24"/>
        </w:rPr>
        <w:t xml:space="preserve"> by a clinically important amount</w:t>
      </w:r>
      <w:r w:rsidR="00C3045A" w:rsidRPr="00B13B73">
        <w:rPr>
          <w:rFonts w:cs="Arial"/>
          <w:sz w:val="24"/>
          <w:szCs w:val="24"/>
        </w:rPr>
        <w:t>.</w:t>
      </w:r>
    </w:p>
    <w:p w14:paraId="07860CE2" w14:textId="77777777" w:rsidR="001C714D" w:rsidRPr="00B13B73" w:rsidRDefault="001C714D" w:rsidP="001B6832"/>
    <w:p w14:paraId="696B5E63" w14:textId="60628336" w:rsidR="00C2289E" w:rsidRPr="00B13B73" w:rsidRDefault="00697E84" w:rsidP="001B6832">
      <w:pPr>
        <w:spacing w:before="40" w:after="20"/>
        <w:rPr>
          <w:rFonts w:ascii="Arial" w:hAnsi="Arial" w:cs="Arial"/>
          <w:b/>
        </w:rPr>
      </w:pPr>
      <w:r w:rsidRPr="00B13B73">
        <w:rPr>
          <w:rFonts w:ascii="Arial" w:hAnsi="Arial" w:cs="Arial"/>
          <w:b/>
        </w:rPr>
        <w:t>Non-inferiorit</w:t>
      </w:r>
      <w:r w:rsidR="00C2289E" w:rsidRPr="00B13B73">
        <w:rPr>
          <w:rFonts w:ascii="Arial" w:hAnsi="Arial" w:cs="Arial"/>
          <w:b/>
        </w:rPr>
        <w:t>y margin</w:t>
      </w:r>
      <w:r w:rsidR="00CD7A97" w:rsidRPr="00B13B73">
        <w:rPr>
          <w:rFonts w:ascii="Arial" w:hAnsi="Arial" w:cs="Arial"/>
          <w:b/>
        </w:rPr>
        <w:t xml:space="preserve"> (</w:t>
      </w:r>
      <w:r w:rsidR="00CD7A97" w:rsidRPr="00B13B73">
        <w:rPr>
          <w:rFonts w:ascii="Arial" w:hAnsi="Arial" w:cs="Arial"/>
          <w:b/>
        </w:rPr>
        <w:sym w:font="Symbol" w:char="F064"/>
      </w:r>
      <w:r w:rsidR="00CD7A97" w:rsidRPr="00B13B73">
        <w:rPr>
          <w:rFonts w:ascii="Arial" w:hAnsi="Arial" w:cs="Arial"/>
          <w:b/>
        </w:rPr>
        <w:t>)</w:t>
      </w:r>
    </w:p>
    <w:p w14:paraId="1B661DBB" w14:textId="77777777" w:rsidR="00C2289E" w:rsidRPr="00B13B73" w:rsidRDefault="00C2289E" w:rsidP="001B6832"/>
    <w:p w14:paraId="78587B76" w14:textId="620913E3" w:rsidR="00BE56F3" w:rsidRPr="00B13B73" w:rsidRDefault="00917089" w:rsidP="001B6832">
      <w:pPr>
        <w:pStyle w:val="ReportText"/>
        <w:jc w:val="left"/>
        <w:rPr>
          <w:rFonts w:cs="Arial"/>
          <w:sz w:val="24"/>
          <w:szCs w:val="24"/>
        </w:rPr>
      </w:pPr>
      <w:r w:rsidRPr="00B13B73">
        <w:rPr>
          <w:rFonts w:cs="Arial"/>
          <w:sz w:val="24"/>
          <w:szCs w:val="24"/>
        </w:rPr>
        <w:t>The non</w:t>
      </w:r>
      <w:r w:rsidR="00C3045A" w:rsidRPr="00B13B73">
        <w:rPr>
          <w:rFonts w:cs="Arial"/>
          <w:sz w:val="24"/>
          <w:szCs w:val="24"/>
        </w:rPr>
        <w:t>-</w:t>
      </w:r>
      <w:r w:rsidRPr="00B13B73">
        <w:rPr>
          <w:rFonts w:cs="Arial"/>
          <w:sz w:val="24"/>
          <w:szCs w:val="24"/>
        </w:rPr>
        <w:t xml:space="preserve">inferiority margin is the </w:t>
      </w:r>
      <w:r w:rsidR="00340597" w:rsidRPr="00B13B73">
        <w:rPr>
          <w:rFonts w:cs="Arial"/>
          <w:sz w:val="24"/>
          <w:szCs w:val="24"/>
        </w:rPr>
        <w:t xml:space="preserve">‘clinically important/unimportant amount’ referred to in the descriptions of equivalence and non-inferiority trials.  It is the </w:t>
      </w:r>
      <w:r w:rsidRPr="00B13B73">
        <w:rPr>
          <w:rFonts w:cs="Arial"/>
          <w:sz w:val="24"/>
          <w:szCs w:val="24"/>
        </w:rPr>
        <w:t>percentage</w:t>
      </w:r>
      <w:r w:rsidR="00C2289E" w:rsidRPr="00B13B73">
        <w:rPr>
          <w:rFonts w:cs="Arial"/>
          <w:sz w:val="24"/>
          <w:szCs w:val="24"/>
        </w:rPr>
        <w:t xml:space="preserve"> of the effect size of the current or comparator </w:t>
      </w:r>
      <w:r w:rsidR="00BE56F3" w:rsidRPr="00B13B73">
        <w:rPr>
          <w:rFonts w:cs="Arial"/>
          <w:sz w:val="24"/>
          <w:szCs w:val="24"/>
        </w:rPr>
        <w:t>technology against placebo</w:t>
      </w:r>
      <w:r w:rsidR="00C2289E" w:rsidRPr="00B13B73">
        <w:rPr>
          <w:rFonts w:cs="Arial"/>
          <w:sz w:val="24"/>
          <w:szCs w:val="24"/>
        </w:rPr>
        <w:t xml:space="preserve"> (</w:t>
      </w:r>
      <w:r w:rsidR="00BE56F3" w:rsidRPr="00B13B73">
        <w:rPr>
          <w:rFonts w:cs="Arial"/>
          <w:sz w:val="24"/>
          <w:szCs w:val="24"/>
        </w:rPr>
        <w:t xml:space="preserve">M1) </w:t>
      </w:r>
      <w:r w:rsidRPr="00B13B73">
        <w:rPr>
          <w:rFonts w:cs="Arial"/>
          <w:sz w:val="24"/>
          <w:szCs w:val="24"/>
        </w:rPr>
        <w:t>that</w:t>
      </w:r>
      <w:r w:rsidR="00BE56F3" w:rsidRPr="00B13B73">
        <w:rPr>
          <w:rFonts w:cs="Arial"/>
          <w:sz w:val="24"/>
          <w:szCs w:val="24"/>
        </w:rPr>
        <w:t xml:space="preserve"> is clinically acceptable to be maintained for non-inferiority to be assumed (M2, the ‘preserved fraction’ or ‘degree of inferiority’). </w:t>
      </w:r>
    </w:p>
    <w:p w14:paraId="18E1056E" w14:textId="77777777" w:rsidR="00BE56F3" w:rsidRPr="00B13B73" w:rsidRDefault="00BE56F3" w:rsidP="001B6832">
      <w:pPr>
        <w:pStyle w:val="ReportText"/>
        <w:jc w:val="left"/>
        <w:rPr>
          <w:rFonts w:cs="Arial"/>
          <w:sz w:val="24"/>
          <w:szCs w:val="24"/>
        </w:rPr>
      </w:pPr>
    </w:p>
    <w:p w14:paraId="58FCB98A" w14:textId="7F65D5BD" w:rsidR="00917089" w:rsidRPr="00B13B73" w:rsidRDefault="00917089" w:rsidP="001B6832">
      <w:pPr>
        <w:pStyle w:val="ReportText"/>
        <w:jc w:val="left"/>
        <w:rPr>
          <w:rFonts w:cs="Arial"/>
          <w:sz w:val="24"/>
          <w:szCs w:val="24"/>
        </w:rPr>
      </w:pPr>
      <w:r w:rsidRPr="00B13B73">
        <w:rPr>
          <w:rFonts w:cs="Arial"/>
          <w:sz w:val="24"/>
          <w:szCs w:val="24"/>
        </w:rPr>
        <w:t>E</w:t>
      </w:r>
      <w:r w:rsidR="00BE56F3" w:rsidRPr="00B13B73">
        <w:rPr>
          <w:rFonts w:cs="Arial"/>
          <w:sz w:val="24"/>
          <w:szCs w:val="24"/>
        </w:rPr>
        <w:t xml:space="preserve">stablishing M1 and M2 </w:t>
      </w:r>
      <w:r w:rsidRPr="00B13B73">
        <w:rPr>
          <w:rFonts w:cs="Arial"/>
          <w:sz w:val="24"/>
          <w:szCs w:val="24"/>
        </w:rPr>
        <w:t xml:space="preserve">allows </w:t>
      </w:r>
      <w:r w:rsidR="00BE56F3" w:rsidRPr="00B13B73">
        <w:rPr>
          <w:rFonts w:cs="Arial"/>
          <w:sz w:val="24"/>
          <w:szCs w:val="24"/>
        </w:rPr>
        <w:t xml:space="preserve">a sample size can be drawn to ensure there is sufficient power to conclude that the intervention technology is non-inferior or equivalent to the comparator trial. </w:t>
      </w:r>
    </w:p>
    <w:p w14:paraId="6C3299B1" w14:textId="77777777" w:rsidR="00917089" w:rsidRPr="00B13B73" w:rsidRDefault="00917089" w:rsidP="001B6832">
      <w:pPr>
        <w:pStyle w:val="ReportText"/>
        <w:jc w:val="left"/>
        <w:rPr>
          <w:rFonts w:cs="Arial"/>
          <w:sz w:val="24"/>
          <w:szCs w:val="24"/>
        </w:rPr>
      </w:pPr>
    </w:p>
    <w:p w14:paraId="7512155E" w14:textId="7266C8CF" w:rsidR="00BE56F3" w:rsidRPr="00B13B73" w:rsidRDefault="00BE56F3" w:rsidP="001B6832">
      <w:pPr>
        <w:pStyle w:val="ReportText"/>
        <w:jc w:val="left"/>
        <w:rPr>
          <w:rFonts w:cs="Arial"/>
          <w:sz w:val="24"/>
          <w:szCs w:val="24"/>
        </w:rPr>
      </w:pPr>
      <w:r w:rsidRPr="00B13B73">
        <w:rPr>
          <w:rFonts w:cs="Arial"/>
          <w:sz w:val="24"/>
          <w:szCs w:val="24"/>
        </w:rPr>
        <w:t>Important considerations of the choice of M1 and M2 are:</w:t>
      </w:r>
    </w:p>
    <w:p w14:paraId="69DFFE51" w14:textId="77777777" w:rsidR="00BE56F3" w:rsidRPr="00B13B73" w:rsidRDefault="00BE56F3" w:rsidP="001B6832"/>
    <w:p w14:paraId="07D61EBC" w14:textId="301FC1B0" w:rsidR="00913755" w:rsidRPr="00B13B73" w:rsidRDefault="00BE56F3" w:rsidP="001B6832">
      <w:pPr>
        <w:pStyle w:val="ReportText"/>
        <w:numPr>
          <w:ilvl w:val="0"/>
          <w:numId w:val="3"/>
        </w:numPr>
        <w:ind w:left="851" w:hanging="851"/>
        <w:jc w:val="left"/>
        <w:rPr>
          <w:rFonts w:cs="Arial"/>
          <w:sz w:val="24"/>
          <w:szCs w:val="24"/>
        </w:rPr>
      </w:pPr>
      <w:r w:rsidRPr="00B13B73">
        <w:rPr>
          <w:rFonts w:cs="Arial"/>
          <w:sz w:val="24"/>
          <w:szCs w:val="24"/>
        </w:rPr>
        <w:t xml:space="preserve">If M1 is </w:t>
      </w:r>
      <w:r w:rsidR="00913755" w:rsidRPr="00B13B73">
        <w:rPr>
          <w:rFonts w:cs="Arial"/>
          <w:sz w:val="24"/>
          <w:szCs w:val="24"/>
        </w:rPr>
        <w:t>over</w:t>
      </w:r>
      <w:r w:rsidRPr="00B13B73">
        <w:rPr>
          <w:rFonts w:cs="Arial"/>
          <w:sz w:val="24"/>
          <w:szCs w:val="24"/>
        </w:rPr>
        <w:t>estimated</w:t>
      </w:r>
      <w:r w:rsidR="00C3045A" w:rsidRPr="00B13B73">
        <w:rPr>
          <w:rFonts w:cs="Arial"/>
          <w:sz w:val="24"/>
          <w:szCs w:val="24"/>
        </w:rPr>
        <w:t>,</w:t>
      </w:r>
      <w:r w:rsidRPr="00B13B73">
        <w:rPr>
          <w:rFonts w:cs="Arial"/>
          <w:sz w:val="24"/>
          <w:szCs w:val="24"/>
        </w:rPr>
        <w:t xml:space="preserve"> then the</w:t>
      </w:r>
      <w:r w:rsidR="00913755" w:rsidRPr="00B13B73">
        <w:rPr>
          <w:rFonts w:cs="Arial"/>
          <w:sz w:val="24"/>
          <w:szCs w:val="24"/>
        </w:rPr>
        <w:t xml:space="preserve">re is a danger that the trial will incorrectly conclude  </w:t>
      </w:r>
      <w:r w:rsidRPr="00B13B73">
        <w:rPr>
          <w:rFonts w:cs="Arial"/>
          <w:sz w:val="24"/>
          <w:szCs w:val="24"/>
        </w:rPr>
        <w:t xml:space="preserve"> </w:t>
      </w:r>
      <w:r w:rsidR="00913755" w:rsidRPr="00B13B73">
        <w:rPr>
          <w:rFonts w:cs="Arial"/>
          <w:sz w:val="24"/>
          <w:szCs w:val="24"/>
        </w:rPr>
        <w:t>that a new drug is effective</w:t>
      </w:r>
    </w:p>
    <w:p w14:paraId="323DDA48" w14:textId="0A53EB9F" w:rsidR="00913755" w:rsidRPr="00B13B73" w:rsidRDefault="00913755" w:rsidP="001B6832">
      <w:pPr>
        <w:pStyle w:val="ReportText"/>
        <w:numPr>
          <w:ilvl w:val="0"/>
          <w:numId w:val="3"/>
        </w:numPr>
        <w:ind w:left="851" w:hanging="851"/>
        <w:jc w:val="left"/>
        <w:rPr>
          <w:rFonts w:cs="Arial"/>
          <w:sz w:val="24"/>
          <w:szCs w:val="24"/>
        </w:rPr>
      </w:pPr>
      <w:r w:rsidRPr="00B13B73">
        <w:rPr>
          <w:rFonts w:cs="Arial"/>
          <w:sz w:val="24"/>
          <w:szCs w:val="24"/>
        </w:rPr>
        <w:t>If M1 is underestimated</w:t>
      </w:r>
      <w:r w:rsidR="00C3045A" w:rsidRPr="00B13B73">
        <w:rPr>
          <w:rFonts w:cs="Arial"/>
          <w:sz w:val="24"/>
          <w:szCs w:val="24"/>
        </w:rPr>
        <w:t>,</w:t>
      </w:r>
      <w:r w:rsidRPr="00B13B73">
        <w:rPr>
          <w:rFonts w:cs="Arial"/>
          <w:sz w:val="24"/>
          <w:szCs w:val="24"/>
        </w:rPr>
        <w:t xml:space="preserve"> then the power calculation for the trial may be too small to conclude the intervention technology is non-inferior or equivalence</w:t>
      </w:r>
    </w:p>
    <w:p w14:paraId="03C7B22B" w14:textId="156E46AB" w:rsidR="00C3045A" w:rsidRPr="00B13B73" w:rsidRDefault="00913755" w:rsidP="001B6832">
      <w:pPr>
        <w:pStyle w:val="ReportText"/>
        <w:numPr>
          <w:ilvl w:val="0"/>
          <w:numId w:val="3"/>
        </w:numPr>
        <w:ind w:left="851" w:hanging="851"/>
        <w:jc w:val="left"/>
        <w:rPr>
          <w:rFonts w:cs="Arial"/>
          <w:sz w:val="24"/>
          <w:szCs w:val="24"/>
        </w:rPr>
      </w:pPr>
      <w:r w:rsidRPr="00B13B73">
        <w:rPr>
          <w:rFonts w:cs="Arial"/>
          <w:sz w:val="24"/>
          <w:szCs w:val="24"/>
        </w:rPr>
        <w:lastRenderedPageBreak/>
        <w:t>The smaller M2 is (i</w:t>
      </w:r>
      <w:r w:rsidR="00C3045A" w:rsidRPr="00B13B73">
        <w:rPr>
          <w:rFonts w:cs="Arial"/>
          <w:sz w:val="24"/>
          <w:szCs w:val="24"/>
        </w:rPr>
        <w:t>.</w:t>
      </w:r>
      <w:r w:rsidRPr="00B13B73">
        <w:rPr>
          <w:rFonts w:cs="Arial"/>
          <w:sz w:val="24"/>
          <w:szCs w:val="24"/>
        </w:rPr>
        <w:t>e</w:t>
      </w:r>
      <w:r w:rsidR="00C3045A" w:rsidRPr="00B13B73">
        <w:rPr>
          <w:rFonts w:cs="Arial"/>
          <w:sz w:val="24"/>
          <w:szCs w:val="24"/>
        </w:rPr>
        <w:t>.</w:t>
      </w:r>
      <w:r w:rsidRPr="00B13B73">
        <w:rPr>
          <w:rFonts w:cs="Arial"/>
          <w:sz w:val="24"/>
          <w:szCs w:val="24"/>
        </w:rPr>
        <w:t xml:space="preserve"> the smaller the acceptable loss in efficacy) the larger </w:t>
      </w:r>
      <w:r w:rsidR="006409A5" w:rsidRPr="00B13B73">
        <w:rPr>
          <w:rFonts w:cs="Arial"/>
          <w:sz w:val="24"/>
          <w:szCs w:val="24"/>
        </w:rPr>
        <w:t>the sample size will need to be</w:t>
      </w:r>
    </w:p>
    <w:p w14:paraId="3884309F" w14:textId="62B380ED" w:rsidR="00913755" w:rsidRPr="00B13B73" w:rsidRDefault="00913755" w:rsidP="001B6832">
      <w:pPr>
        <w:pStyle w:val="ReportText"/>
        <w:numPr>
          <w:ilvl w:val="0"/>
          <w:numId w:val="3"/>
        </w:numPr>
        <w:ind w:left="851" w:hanging="851"/>
        <w:jc w:val="left"/>
        <w:rPr>
          <w:rFonts w:cs="Arial"/>
          <w:sz w:val="24"/>
          <w:szCs w:val="24"/>
        </w:rPr>
      </w:pPr>
      <w:r w:rsidRPr="00B13B73">
        <w:rPr>
          <w:rFonts w:cs="Arial"/>
          <w:sz w:val="24"/>
          <w:szCs w:val="24"/>
        </w:rPr>
        <w:t>The larger M2</w:t>
      </w:r>
      <w:r w:rsidR="00C3045A" w:rsidRPr="00B13B73">
        <w:rPr>
          <w:rFonts w:cs="Arial"/>
          <w:sz w:val="24"/>
          <w:szCs w:val="24"/>
        </w:rPr>
        <w:t xml:space="preserve"> is</w:t>
      </w:r>
      <w:r w:rsidRPr="00B13B73">
        <w:rPr>
          <w:rFonts w:cs="Arial"/>
          <w:sz w:val="24"/>
          <w:szCs w:val="24"/>
        </w:rPr>
        <w:t>, the greater the risk of concluding that an inferior intervention technology is non-inferior or equivalent to a comparator technology that is more effective</w:t>
      </w:r>
    </w:p>
    <w:p w14:paraId="2D2573BC" w14:textId="77777777" w:rsidR="00913755" w:rsidRPr="00B13B73" w:rsidRDefault="00913755" w:rsidP="001B6832">
      <w:pPr>
        <w:pStyle w:val="ReportText"/>
        <w:ind w:left="851"/>
        <w:jc w:val="left"/>
        <w:rPr>
          <w:rFonts w:cs="Arial"/>
          <w:sz w:val="24"/>
          <w:szCs w:val="24"/>
        </w:rPr>
      </w:pPr>
    </w:p>
    <w:p w14:paraId="66CA9687" w14:textId="77777777" w:rsidR="00B773F3" w:rsidRPr="00B13B73" w:rsidRDefault="00B773F3" w:rsidP="001B6832">
      <w:pPr>
        <w:rPr>
          <w:rFonts w:ascii="Arial" w:hAnsi="Arial" w:cs="Arial"/>
          <w:b/>
        </w:rPr>
      </w:pPr>
    </w:p>
    <w:p w14:paraId="534BDF5C" w14:textId="5CFCBC24" w:rsidR="00913755" w:rsidRPr="00B13B73" w:rsidRDefault="00913755" w:rsidP="001B6832">
      <w:pPr>
        <w:rPr>
          <w:rFonts w:ascii="Arial" w:hAnsi="Arial" w:cs="Arial"/>
          <w:b/>
        </w:rPr>
      </w:pPr>
      <w:r w:rsidRPr="00B13B73">
        <w:rPr>
          <w:rFonts w:ascii="Arial" w:hAnsi="Arial" w:cs="Arial"/>
          <w:b/>
        </w:rPr>
        <w:t xml:space="preserve">Placebo </w:t>
      </w:r>
      <w:r w:rsidR="00652F5A" w:rsidRPr="00B13B73">
        <w:rPr>
          <w:rFonts w:ascii="Arial" w:hAnsi="Arial" w:cs="Arial"/>
          <w:b/>
        </w:rPr>
        <w:t>or bio-</w:t>
      </w:r>
      <w:r w:rsidRPr="00B13B73">
        <w:rPr>
          <w:rFonts w:ascii="Arial" w:hAnsi="Arial" w:cs="Arial"/>
          <w:b/>
        </w:rPr>
        <w:t>creep</w:t>
      </w:r>
    </w:p>
    <w:p w14:paraId="35C32C23" w14:textId="500C6A30" w:rsidR="00913755" w:rsidRPr="00B13B73" w:rsidRDefault="00913755" w:rsidP="001B6832">
      <w:pPr>
        <w:rPr>
          <w:b/>
        </w:rPr>
      </w:pPr>
    </w:p>
    <w:p w14:paraId="07529BF7" w14:textId="1B65EBBA" w:rsidR="00652F5A" w:rsidRPr="00B13B73" w:rsidRDefault="00C3045A" w:rsidP="001B6832">
      <w:pPr>
        <w:pStyle w:val="ReportText"/>
        <w:jc w:val="left"/>
        <w:rPr>
          <w:rFonts w:cs="Arial"/>
          <w:sz w:val="24"/>
          <w:szCs w:val="24"/>
        </w:rPr>
      </w:pPr>
      <w:r w:rsidRPr="00B13B73">
        <w:rPr>
          <w:rFonts w:cs="Arial"/>
          <w:sz w:val="24"/>
          <w:szCs w:val="24"/>
        </w:rPr>
        <w:t xml:space="preserve">Because </w:t>
      </w:r>
      <w:r w:rsidR="00652F5A" w:rsidRPr="00B13B73">
        <w:rPr>
          <w:rFonts w:cs="Arial"/>
          <w:sz w:val="24"/>
          <w:szCs w:val="24"/>
        </w:rPr>
        <w:t>non-inferiority trials</w:t>
      </w:r>
      <w:r w:rsidRPr="00B13B73">
        <w:rPr>
          <w:rFonts w:cs="Arial"/>
          <w:sz w:val="24"/>
          <w:szCs w:val="24"/>
        </w:rPr>
        <w:t>,</w:t>
      </w:r>
      <w:r w:rsidR="00652F5A" w:rsidRPr="00B13B73">
        <w:rPr>
          <w:rFonts w:cs="Arial"/>
          <w:sz w:val="24"/>
          <w:szCs w:val="24"/>
        </w:rPr>
        <w:t xml:space="preserve"> by design</w:t>
      </w:r>
      <w:r w:rsidRPr="00B13B73">
        <w:rPr>
          <w:rFonts w:cs="Arial"/>
          <w:sz w:val="24"/>
          <w:szCs w:val="24"/>
        </w:rPr>
        <w:t>,</w:t>
      </w:r>
      <w:r w:rsidR="00652F5A" w:rsidRPr="00B13B73">
        <w:rPr>
          <w:rFonts w:cs="Arial"/>
          <w:sz w:val="24"/>
          <w:szCs w:val="24"/>
        </w:rPr>
        <w:t xml:space="preserve"> allow for a new technology to be less effective than an existing technology but still be assessed as non-inferior, there is a possibility that increasingly inferior treatments become standard of care until a treatment that is no more effective than placebo is standard of care</w:t>
      </w:r>
      <w:r w:rsidRPr="00B13B73">
        <w:rPr>
          <w:rFonts w:cs="Arial"/>
          <w:sz w:val="24"/>
          <w:szCs w:val="24"/>
        </w:rPr>
        <w:t>,</w:t>
      </w:r>
      <w:r w:rsidR="00652F5A" w:rsidRPr="00B13B73">
        <w:rPr>
          <w:rFonts w:cs="Arial"/>
          <w:sz w:val="24"/>
          <w:szCs w:val="24"/>
        </w:rPr>
        <w:t xml:space="preserve"> even though effective treatments are available.  This is called placebo or bio-creep and is a particular issue if M1 is overestimated or M2 is too large.</w:t>
      </w:r>
    </w:p>
    <w:p w14:paraId="59161AFC" w14:textId="77777777" w:rsidR="00652F5A" w:rsidRPr="00B13B73" w:rsidRDefault="00652F5A" w:rsidP="001B6832">
      <w:pPr>
        <w:rPr>
          <w:b/>
        </w:rPr>
      </w:pPr>
    </w:p>
    <w:p w14:paraId="5FD13FEE" w14:textId="53260386" w:rsidR="00913755" w:rsidRPr="00B13B73" w:rsidRDefault="002B5F87" w:rsidP="001B6832">
      <w:pPr>
        <w:rPr>
          <w:rFonts w:ascii="Arial" w:hAnsi="Arial" w:cs="Arial"/>
          <w:b/>
        </w:rPr>
      </w:pPr>
      <w:r w:rsidRPr="00B13B73">
        <w:rPr>
          <w:rFonts w:ascii="Arial" w:hAnsi="Arial" w:cs="Arial"/>
          <w:b/>
        </w:rPr>
        <w:t>Interpretation of non-inferiority and equival</w:t>
      </w:r>
      <w:r w:rsidR="00124459" w:rsidRPr="00B13B73">
        <w:rPr>
          <w:rFonts w:ascii="Arial" w:hAnsi="Arial" w:cs="Arial"/>
          <w:b/>
        </w:rPr>
        <w:t>e</w:t>
      </w:r>
      <w:r w:rsidRPr="00B13B73">
        <w:rPr>
          <w:rFonts w:ascii="Arial" w:hAnsi="Arial" w:cs="Arial"/>
          <w:b/>
        </w:rPr>
        <w:t>nce results</w:t>
      </w:r>
    </w:p>
    <w:p w14:paraId="3476CF00" w14:textId="61D711A8" w:rsidR="002B5F87" w:rsidRPr="00B13B73" w:rsidRDefault="002B5F87" w:rsidP="001B6832">
      <w:pPr>
        <w:rPr>
          <w:b/>
        </w:rPr>
      </w:pPr>
    </w:p>
    <w:p w14:paraId="68FDEFD9" w14:textId="3010FA11" w:rsidR="00124459" w:rsidRPr="00B13B73" w:rsidRDefault="002B5F87" w:rsidP="001B6832">
      <w:pPr>
        <w:pStyle w:val="ReportText"/>
        <w:jc w:val="left"/>
        <w:rPr>
          <w:rFonts w:cs="Arial"/>
          <w:sz w:val="24"/>
          <w:szCs w:val="24"/>
        </w:rPr>
      </w:pPr>
      <w:r w:rsidRPr="00B13B73">
        <w:rPr>
          <w:rFonts w:cs="Arial"/>
          <w:sz w:val="24"/>
          <w:szCs w:val="24"/>
        </w:rPr>
        <w:t>Statistical inference in non-inferiority</w:t>
      </w:r>
      <w:r w:rsidR="00124459" w:rsidRPr="00B13B73">
        <w:rPr>
          <w:rFonts w:cs="Arial"/>
          <w:sz w:val="24"/>
          <w:szCs w:val="24"/>
        </w:rPr>
        <w:t xml:space="preserve"> and equivalence</w:t>
      </w:r>
      <w:r w:rsidRPr="00B13B73">
        <w:rPr>
          <w:rFonts w:cs="Arial"/>
          <w:sz w:val="24"/>
          <w:szCs w:val="24"/>
        </w:rPr>
        <w:t xml:space="preserve"> trials</w:t>
      </w:r>
      <w:r w:rsidR="00124459" w:rsidRPr="00B13B73">
        <w:rPr>
          <w:rFonts w:cs="Arial"/>
          <w:sz w:val="24"/>
          <w:szCs w:val="24"/>
        </w:rPr>
        <w:t xml:space="preserve"> is based upon the confidence intervals generated from the trial results.  This is summarised in Figure 1</w:t>
      </w:r>
      <w:r w:rsidR="00EA6C81" w:rsidRPr="00B13B73">
        <w:rPr>
          <w:rFonts w:cs="Arial"/>
          <w:sz w:val="24"/>
          <w:szCs w:val="24"/>
        </w:rPr>
        <w:t xml:space="preserve"> where </w:t>
      </w:r>
      <w:r w:rsidR="00EA6C81" w:rsidRPr="00B13B73">
        <w:rPr>
          <w:rFonts w:cs="Arial"/>
          <w:sz w:val="24"/>
          <w:szCs w:val="24"/>
        </w:rPr>
        <w:sym w:font="Symbol" w:char="F064"/>
      </w:r>
      <w:r w:rsidR="00EA6C81" w:rsidRPr="00B13B73">
        <w:rPr>
          <w:rFonts w:cs="Arial"/>
          <w:sz w:val="24"/>
          <w:szCs w:val="24"/>
        </w:rPr>
        <w:t xml:space="preserve"> is the non-inferiority margin and a comparison between inference in superiority, equivalence and non-inferiority studies is shown. </w:t>
      </w:r>
    </w:p>
    <w:p w14:paraId="741B1A9B" w14:textId="77777777" w:rsidR="00124459" w:rsidRPr="00B13B73" w:rsidRDefault="00124459" w:rsidP="001B6832">
      <w:pPr>
        <w:rPr>
          <w:b/>
        </w:rPr>
      </w:pPr>
    </w:p>
    <w:p w14:paraId="4D65A861" w14:textId="77777777" w:rsidR="00A34BDD" w:rsidRDefault="00A34BDD" w:rsidP="001B6832">
      <w:pPr>
        <w:ind w:left="1134" w:hanging="1134"/>
        <w:rPr>
          <w:rFonts w:ascii="Arial" w:hAnsi="Arial" w:cs="Arial"/>
          <w:b/>
          <w:sz w:val="22"/>
          <w:szCs w:val="22"/>
        </w:rPr>
      </w:pPr>
    </w:p>
    <w:p w14:paraId="2F066A82" w14:textId="77777777" w:rsidR="00A34BDD" w:rsidRDefault="00A34BDD" w:rsidP="001B6832">
      <w:pPr>
        <w:ind w:left="1134" w:hanging="1134"/>
        <w:rPr>
          <w:rFonts w:ascii="Arial" w:hAnsi="Arial" w:cs="Arial"/>
          <w:b/>
          <w:sz w:val="22"/>
          <w:szCs w:val="22"/>
        </w:rPr>
      </w:pPr>
    </w:p>
    <w:p w14:paraId="7DB51B81" w14:textId="77777777" w:rsidR="00A34BDD" w:rsidRDefault="00A34BDD" w:rsidP="001B6832">
      <w:pPr>
        <w:ind w:left="1134" w:hanging="1134"/>
        <w:rPr>
          <w:rFonts w:ascii="Arial" w:hAnsi="Arial" w:cs="Arial"/>
          <w:b/>
          <w:sz w:val="22"/>
          <w:szCs w:val="22"/>
        </w:rPr>
      </w:pPr>
    </w:p>
    <w:p w14:paraId="4E45C0AA" w14:textId="77777777" w:rsidR="00A34BDD" w:rsidRDefault="00A34BDD" w:rsidP="001B6832">
      <w:pPr>
        <w:ind w:left="1134" w:hanging="1134"/>
        <w:rPr>
          <w:rFonts w:ascii="Arial" w:hAnsi="Arial" w:cs="Arial"/>
          <w:b/>
          <w:sz w:val="22"/>
          <w:szCs w:val="22"/>
        </w:rPr>
      </w:pPr>
    </w:p>
    <w:p w14:paraId="5E49EAB5" w14:textId="77777777" w:rsidR="00A34BDD" w:rsidRDefault="00A34BDD" w:rsidP="001B6832">
      <w:pPr>
        <w:ind w:left="1134" w:hanging="1134"/>
        <w:rPr>
          <w:rFonts w:ascii="Arial" w:hAnsi="Arial" w:cs="Arial"/>
          <w:b/>
          <w:sz w:val="22"/>
          <w:szCs w:val="22"/>
        </w:rPr>
      </w:pPr>
    </w:p>
    <w:p w14:paraId="1807E0C8" w14:textId="77777777" w:rsidR="00A34BDD" w:rsidRDefault="00A34BDD" w:rsidP="001B6832">
      <w:pPr>
        <w:ind w:left="1134" w:hanging="1134"/>
        <w:rPr>
          <w:rFonts w:ascii="Arial" w:hAnsi="Arial" w:cs="Arial"/>
          <w:b/>
          <w:sz w:val="22"/>
          <w:szCs w:val="22"/>
        </w:rPr>
      </w:pPr>
    </w:p>
    <w:p w14:paraId="1E1F20B9" w14:textId="77777777" w:rsidR="00A34BDD" w:rsidRDefault="00A34BDD" w:rsidP="001B6832">
      <w:pPr>
        <w:ind w:left="1134" w:hanging="1134"/>
        <w:rPr>
          <w:rFonts w:ascii="Arial" w:hAnsi="Arial" w:cs="Arial"/>
          <w:b/>
          <w:sz w:val="22"/>
          <w:szCs w:val="22"/>
        </w:rPr>
      </w:pPr>
    </w:p>
    <w:p w14:paraId="7D49EC13" w14:textId="77777777" w:rsidR="00A34BDD" w:rsidRDefault="00A34BDD" w:rsidP="001B6832">
      <w:pPr>
        <w:ind w:left="1134" w:hanging="1134"/>
        <w:rPr>
          <w:rFonts w:ascii="Arial" w:hAnsi="Arial" w:cs="Arial"/>
          <w:b/>
          <w:sz w:val="22"/>
          <w:szCs w:val="22"/>
        </w:rPr>
      </w:pPr>
    </w:p>
    <w:p w14:paraId="51C05DE6" w14:textId="77777777" w:rsidR="00A34BDD" w:rsidRDefault="00A34BDD" w:rsidP="001B6832">
      <w:pPr>
        <w:ind w:left="1134" w:hanging="1134"/>
        <w:rPr>
          <w:rFonts w:ascii="Arial" w:hAnsi="Arial" w:cs="Arial"/>
          <w:b/>
          <w:sz w:val="22"/>
          <w:szCs w:val="22"/>
        </w:rPr>
      </w:pPr>
    </w:p>
    <w:p w14:paraId="1A99B422" w14:textId="77777777" w:rsidR="00A34BDD" w:rsidRDefault="00A34BDD" w:rsidP="001B6832">
      <w:pPr>
        <w:ind w:left="1134" w:hanging="1134"/>
        <w:rPr>
          <w:rFonts w:ascii="Arial" w:hAnsi="Arial" w:cs="Arial"/>
          <w:b/>
          <w:sz w:val="22"/>
          <w:szCs w:val="22"/>
        </w:rPr>
      </w:pPr>
    </w:p>
    <w:p w14:paraId="3C6ED42A" w14:textId="77777777" w:rsidR="00A34BDD" w:rsidRDefault="00A34BDD" w:rsidP="001B6832">
      <w:pPr>
        <w:ind w:left="1134" w:hanging="1134"/>
        <w:rPr>
          <w:rFonts w:ascii="Arial" w:hAnsi="Arial" w:cs="Arial"/>
          <w:b/>
          <w:sz w:val="22"/>
          <w:szCs w:val="22"/>
        </w:rPr>
      </w:pPr>
    </w:p>
    <w:p w14:paraId="38426A51" w14:textId="77777777" w:rsidR="00A34BDD" w:rsidRDefault="00A34BDD" w:rsidP="001B6832">
      <w:pPr>
        <w:ind w:left="1134" w:hanging="1134"/>
        <w:rPr>
          <w:rFonts w:ascii="Arial" w:hAnsi="Arial" w:cs="Arial"/>
          <w:b/>
          <w:sz w:val="22"/>
          <w:szCs w:val="22"/>
        </w:rPr>
      </w:pPr>
    </w:p>
    <w:p w14:paraId="7384D7D9" w14:textId="77777777" w:rsidR="00A34BDD" w:rsidRDefault="00A34BDD" w:rsidP="001B6832">
      <w:pPr>
        <w:ind w:left="1134" w:hanging="1134"/>
        <w:rPr>
          <w:rFonts w:ascii="Arial" w:hAnsi="Arial" w:cs="Arial"/>
          <w:b/>
          <w:sz w:val="22"/>
          <w:szCs w:val="22"/>
        </w:rPr>
      </w:pPr>
    </w:p>
    <w:p w14:paraId="6B51CB88" w14:textId="77777777" w:rsidR="00A34BDD" w:rsidRDefault="00A34BDD" w:rsidP="001B6832">
      <w:pPr>
        <w:ind w:left="1134" w:hanging="1134"/>
        <w:rPr>
          <w:rFonts w:ascii="Arial" w:hAnsi="Arial" w:cs="Arial"/>
          <w:b/>
          <w:sz w:val="22"/>
          <w:szCs w:val="22"/>
        </w:rPr>
      </w:pPr>
    </w:p>
    <w:p w14:paraId="03748D02" w14:textId="77777777" w:rsidR="00A34BDD" w:rsidRDefault="00A34BDD" w:rsidP="001B6832">
      <w:pPr>
        <w:ind w:left="1134" w:hanging="1134"/>
        <w:rPr>
          <w:rFonts w:ascii="Arial" w:hAnsi="Arial" w:cs="Arial"/>
          <w:b/>
          <w:sz w:val="22"/>
          <w:szCs w:val="22"/>
        </w:rPr>
      </w:pPr>
    </w:p>
    <w:p w14:paraId="548E58DC" w14:textId="77777777" w:rsidR="00A34BDD" w:rsidRDefault="00A34BDD" w:rsidP="001B6832">
      <w:pPr>
        <w:ind w:left="1134" w:hanging="1134"/>
        <w:rPr>
          <w:rFonts w:ascii="Arial" w:hAnsi="Arial" w:cs="Arial"/>
          <w:b/>
          <w:sz w:val="22"/>
          <w:szCs w:val="22"/>
        </w:rPr>
      </w:pPr>
    </w:p>
    <w:p w14:paraId="6D44D057" w14:textId="77777777" w:rsidR="00A34BDD" w:rsidRDefault="00A34BDD" w:rsidP="00C3045A">
      <w:pPr>
        <w:ind w:left="1134" w:hanging="1134"/>
        <w:rPr>
          <w:rFonts w:ascii="Arial" w:hAnsi="Arial" w:cs="Arial"/>
          <w:b/>
          <w:sz w:val="22"/>
          <w:szCs w:val="22"/>
        </w:rPr>
      </w:pPr>
    </w:p>
    <w:p w14:paraId="1A23E539" w14:textId="77777777" w:rsidR="00A34BDD" w:rsidRDefault="00A34BDD" w:rsidP="00C3045A">
      <w:pPr>
        <w:ind w:left="1134" w:hanging="1134"/>
        <w:rPr>
          <w:rFonts w:ascii="Arial" w:hAnsi="Arial" w:cs="Arial"/>
          <w:b/>
          <w:sz w:val="22"/>
          <w:szCs w:val="22"/>
        </w:rPr>
      </w:pPr>
    </w:p>
    <w:p w14:paraId="78556F1A" w14:textId="77777777" w:rsidR="00A34BDD" w:rsidRDefault="00A34BDD" w:rsidP="0013064C">
      <w:pPr>
        <w:rPr>
          <w:rFonts w:ascii="Arial" w:hAnsi="Arial" w:cs="Arial"/>
          <w:b/>
          <w:sz w:val="22"/>
          <w:szCs w:val="22"/>
        </w:rPr>
        <w:sectPr w:rsidR="00A34BDD" w:rsidSect="00A34BDD">
          <w:footerReference w:type="default" r:id="rId13"/>
          <w:headerReference w:type="first" r:id="rId14"/>
          <w:footerReference w:type="first" r:id="rId15"/>
          <w:pgSz w:w="11906" w:h="16838" w:code="9"/>
          <w:pgMar w:top="994" w:right="1440" w:bottom="1699" w:left="1440" w:header="706" w:footer="533" w:gutter="0"/>
          <w:pgNumType w:start="1"/>
          <w:cols w:space="708"/>
          <w:titlePg/>
          <w:docGrid w:linePitch="360"/>
        </w:sectPr>
      </w:pPr>
    </w:p>
    <w:p w14:paraId="4ED89F06" w14:textId="5BE842BF" w:rsidR="00124459" w:rsidRPr="00B13B73" w:rsidRDefault="00EA6C81" w:rsidP="0013064C">
      <w:pPr>
        <w:rPr>
          <w:rFonts w:ascii="Arial" w:hAnsi="Arial" w:cs="Arial"/>
          <w:b/>
        </w:rPr>
      </w:pPr>
      <w:r w:rsidRPr="00B13B73">
        <w:rPr>
          <w:rFonts w:ascii="Arial" w:hAnsi="Arial" w:cs="Arial"/>
          <w:b/>
        </w:rPr>
        <w:lastRenderedPageBreak/>
        <w:t xml:space="preserve">Figure 1: </w:t>
      </w:r>
      <w:r w:rsidR="00C3045A" w:rsidRPr="00B13B73">
        <w:rPr>
          <w:rFonts w:ascii="Arial" w:hAnsi="Arial" w:cs="Arial"/>
          <w:b/>
        </w:rPr>
        <w:tab/>
      </w:r>
      <w:r w:rsidRPr="00B13B73">
        <w:rPr>
          <w:rFonts w:ascii="Arial" w:hAnsi="Arial" w:cs="Arial"/>
          <w:b/>
        </w:rPr>
        <w:t>Confidence intervals and the equivalence margin in equivalence/non-inferiority studies</w:t>
      </w:r>
    </w:p>
    <w:p w14:paraId="1E252E94" w14:textId="77777777" w:rsidR="00EA6C81" w:rsidRPr="00B13B73" w:rsidRDefault="00EA6C81" w:rsidP="00124459">
      <w:pPr>
        <w:rPr>
          <w:b/>
        </w:rPr>
      </w:pPr>
    </w:p>
    <w:p w14:paraId="12CD457B" w14:textId="65A38750" w:rsidR="002B5F87" w:rsidRDefault="00EA6C81" w:rsidP="00913755">
      <w:pPr>
        <w:rPr>
          <w:b/>
        </w:rPr>
      </w:pPr>
      <w:r>
        <w:rPr>
          <w:b/>
          <w:noProof/>
          <w:lang w:eastAsia="en-GB"/>
        </w:rPr>
        <w:drawing>
          <wp:inline distT="0" distB="0" distL="0" distR="0" wp14:anchorId="4D8B062B" wp14:editId="323F251B">
            <wp:extent cx="8256896" cy="4334870"/>
            <wp:effectExtent l="0" t="0" r="0" b="8890"/>
            <wp:docPr id="5" name="Picture 5" descr="Figure 1 shows a number of different scenarios regarding confidence intervals and claims around clinical effectiveness.&#10;&#10;In a traditional comparative study, superiority can only be established where the entire confidence interval falls into the ‘superior’ side of the graph.  If the confidence interval crosses the ‘equivalence’ line, superiority cannot be established.&#10;&#10;In an equivalence study, a ‘clinically meaningful difference’ needs to be established on either side of the equivalence line.  Equivalence can only be established if the full confidence interval falls between the ‘high’ and ‘low’ clinically meaningful difference values.  If the confidence interval goes outside that boundary (on either side), equivalence cannot be established.&#10;&#10;In a non-inferiority study, a ‘clinically meaningful difference’ needs to be established on the ‘inferior’ side of the equivalence plane.  Non-inferiority can only be established if the confidence interval falls entirely above that line.  If the confidence interval crosses the clinically meaningful difference line, non-inferiority cannot be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606_2010_1513_Fig1_HTML.jpg"/>
                    <pic:cNvPicPr/>
                  </pic:nvPicPr>
                  <pic:blipFill>
                    <a:blip r:embed="rId16"/>
                    <a:stretch>
                      <a:fillRect/>
                    </a:stretch>
                  </pic:blipFill>
                  <pic:spPr>
                    <a:xfrm>
                      <a:off x="0" y="0"/>
                      <a:ext cx="8317360" cy="4366614"/>
                    </a:xfrm>
                    <a:prstGeom prst="rect">
                      <a:avLst/>
                    </a:prstGeom>
                  </pic:spPr>
                </pic:pic>
              </a:graphicData>
            </a:graphic>
          </wp:inline>
        </w:drawing>
      </w:r>
      <w:r w:rsidR="00124459">
        <w:rPr>
          <w:b/>
        </w:rPr>
        <w:t xml:space="preserve"> </w:t>
      </w:r>
      <w:r w:rsidR="002B5F87">
        <w:rPr>
          <w:b/>
        </w:rPr>
        <w:t xml:space="preserve"> </w:t>
      </w:r>
    </w:p>
    <w:p w14:paraId="2CBCAD39" w14:textId="5C61D0F4" w:rsidR="002B5F87" w:rsidRPr="00EA6C81" w:rsidRDefault="00EA6C81" w:rsidP="00913755">
      <w:pPr>
        <w:rPr>
          <w:rFonts w:ascii="Arial" w:hAnsi="Arial" w:cs="Arial"/>
          <w:sz w:val="18"/>
          <w:szCs w:val="18"/>
        </w:rPr>
      </w:pPr>
      <w:r w:rsidRPr="00EA6C81">
        <w:rPr>
          <w:rFonts w:ascii="Arial" w:hAnsi="Arial" w:cs="Arial"/>
          <w:sz w:val="18"/>
          <w:szCs w:val="18"/>
        </w:rPr>
        <w:t xml:space="preserve">Source: Walker and </w:t>
      </w:r>
      <w:proofErr w:type="spellStart"/>
      <w:r w:rsidRPr="00EA6C81">
        <w:rPr>
          <w:rFonts w:ascii="Arial" w:hAnsi="Arial" w:cs="Arial"/>
          <w:sz w:val="18"/>
          <w:szCs w:val="18"/>
        </w:rPr>
        <w:t>Nowacki</w:t>
      </w:r>
      <w:proofErr w:type="spellEnd"/>
      <w:r w:rsidRPr="00EA6C81">
        <w:rPr>
          <w:rFonts w:ascii="Arial" w:hAnsi="Arial" w:cs="Arial"/>
          <w:sz w:val="18"/>
          <w:szCs w:val="18"/>
        </w:rPr>
        <w:t xml:space="preserve"> 2011</w:t>
      </w:r>
    </w:p>
    <w:p w14:paraId="2F9A184D" w14:textId="45A31EE2" w:rsidR="00EA6C81" w:rsidRDefault="00EA6C81" w:rsidP="00913755">
      <w:pPr>
        <w:rPr>
          <w:b/>
        </w:rPr>
      </w:pPr>
    </w:p>
    <w:p w14:paraId="1DE4A6EF" w14:textId="199FFD4D" w:rsidR="00EA6C81" w:rsidRPr="0013064C" w:rsidRDefault="00EA6C81" w:rsidP="001B6832">
      <w:pPr>
        <w:pStyle w:val="ReportText"/>
        <w:jc w:val="left"/>
        <w:rPr>
          <w:rFonts w:cs="Arial"/>
          <w:sz w:val="24"/>
          <w:szCs w:val="24"/>
        </w:rPr>
      </w:pPr>
      <w:r w:rsidRPr="0013064C">
        <w:rPr>
          <w:rFonts w:cs="Arial"/>
          <w:sz w:val="24"/>
          <w:szCs w:val="24"/>
        </w:rPr>
        <w:t xml:space="preserve">There are occasions where the confidence interval could lie between </w:t>
      </w:r>
      <w:r w:rsidR="000845F3" w:rsidRPr="0013064C">
        <w:rPr>
          <w:rFonts w:cs="Arial"/>
          <w:sz w:val="24"/>
          <w:szCs w:val="24"/>
        </w:rPr>
        <w:t>the non-inferiority margin and no treatment difference.  In such a case</w:t>
      </w:r>
      <w:r w:rsidR="00E5599D" w:rsidRPr="0013064C">
        <w:rPr>
          <w:rFonts w:cs="Arial"/>
          <w:sz w:val="24"/>
          <w:szCs w:val="24"/>
        </w:rPr>
        <w:t>,</w:t>
      </w:r>
      <w:r w:rsidR="000845F3" w:rsidRPr="0013064C">
        <w:rPr>
          <w:rFonts w:cs="Arial"/>
          <w:sz w:val="24"/>
          <w:szCs w:val="24"/>
        </w:rPr>
        <w:t xml:space="preserve"> the conclusion should be that a new technology is statistically inferior (or potentially superior in an equivalence study) to an existing technology but that the inferiority (or superiority) is not clinically significant.</w:t>
      </w:r>
    </w:p>
    <w:p w14:paraId="7B795C17" w14:textId="55E8FE2F" w:rsidR="00697E84" w:rsidRPr="00EA6C81" w:rsidRDefault="00697E84" w:rsidP="00EA6C81">
      <w:pPr>
        <w:pStyle w:val="ReportText"/>
        <w:rPr>
          <w:rFonts w:cs="Arial"/>
        </w:rPr>
        <w:sectPr w:rsidR="00697E84" w:rsidRPr="00EA6C81" w:rsidSect="00D25C41">
          <w:pgSz w:w="16838" w:h="11906" w:orient="landscape" w:code="9"/>
          <w:pgMar w:top="1440" w:right="1699" w:bottom="1440" w:left="994" w:header="706" w:footer="533" w:gutter="0"/>
          <w:cols w:space="708"/>
          <w:titlePg/>
          <w:docGrid w:linePitch="360"/>
        </w:sectPr>
      </w:pPr>
    </w:p>
    <w:p w14:paraId="79CEDA0F" w14:textId="62EE96BF" w:rsidR="00612C69" w:rsidRPr="00E36D23" w:rsidRDefault="0007745A" w:rsidP="00E5599D">
      <w:pPr>
        <w:pStyle w:val="Heading1"/>
        <w:ind w:left="2127" w:hanging="2127"/>
      </w:pPr>
      <w:bookmarkStart w:id="5" w:name="_Toc31727298"/>
      <w:r>
        <w:lastRenderedPageBreak/>
        <w:t>Guidance on non-inferiority and equivalence from regulators</w:t>
      </w:r>
      <w:bookmarkEnd w:id="5"/>
    </w:p>
    <w:p w14:paraId="0F906D75" w14:textId="77777777" w:rsidR="00612C69" w:rsidRPr="00612C69" w:rsidRDefault="00612C69">
      <w:pPr>
        <w:pStyle w:val="ReportText"/>
        <w:rPr>
          <w:rFonts w:cs="Arial"/>
        </w:rPr>
      </w:pPr>
    </w:p>
    <w:p w14:paraId="32C3ECA8" w14:textId="09CAE625" w:rsidR="00612C69" w:rsidRDefault="00612C69">
      <w:pPr>
        <w:pStyle w:val="ReportText"/>
        <w:rPr>
          <w:rFonts w:cs="Arial"/>
        </w:rPr>
      </w:pPr>
    </w:p>
    <w:p w14:paraId="47EBCBF2" w14:textId="77777777" w:rsidR="00E5599D" w:rsidRPr="00612C69" w:rsidRDefault="00E5599D">
      <w:pPr>
        <w:pStyle w:val="ReportText"/>
        <w:rPr>
          <w:rFonts w:cs="Arial"/>
        </w:rPr>
      </w:pPr>
    </w:p>
    <w:p w14:paraId="3AE0ED9F" w14:textId="373D74E8" w:rsidR="00CB24E5" w:rsidRPr="0013064C" w:rsidRDefault="00E26A73" w:rsidP="001B6832">
      <w:pPr>
        <w:pStyle w:val="ReportText"/>
        <w:jc w:val="left"/>
        <w:rPr>
          <w:rFonts w:cs="Arial"/>
          <w:sz w:val="24"/>
          <w:szCs w:val="24"/>
        </w:rPr>
      </w:pPr>
      <w:r w:rsidRPr="0013064C">
        <w:rPr>
          <w:rFonts w:cs="Arial"/>
          <w:sz w:val="24"/>
          <w:szCs w:val="24"/>
        </w:rPr>
        <w:t>Published g</w:t>
      </w:r>
      <w:r w:rsidR="001E3F84" w:rsidRPr="0013064C">
        <w:rPr>
          <w:rFonts w:cs="Arial"/>
          <w:sz w:val="24"/>
          <w:szCs w:val="24"/>
        </w:rPr>
        <w:t xml:space="preserve">uidelines and methods of regulatory bodies </w:t>
      </w:r>
      <w:r w:rsidR="00307F95" w:rsidRPr="0013064C">
        <w:rPr>
          <w:rFonts w:cs="Arial"/>
          <w:sz w:val="24"/>
          <w:szCs w:val="24"/>
        </w:rPr>
        <w:t>(including the MHRA, the FDA and the EMA) on how they</w:t>
      </w:r>
      <w:r w:rsidR="001E3F84" w:rsidRPr="0013064C">
        <w:rPr>
          <w:rFonts w:cs="Arial"/>
          <w:sz w:val="24"/>
          <w:szCs w:val="24"/>
        </w:rPr>
        <w:t xml:space="preserve"> </w:t>
      </w:r>
      <w:r w:rsidR="00307F95" w:rsidRPr="0013064C">
        <w:rPr>
          <w:rFonts w:cs="Arial"/>
          <w:sz w:val="24"/>
          <w:szCs w:val="24"/>
        </w:rPr>
        <w:t xml:space="preserve">make decisions on non-inferiority/equivalence were reviewed. </w:t>
      </w:r>
      <w:r w:rsidR="00E5599D" w:rsidRPr="0013064C">
        <w:rPr>
          <w:rFonts w:cs="Arial"/>
          <w:sz w:val="24"/>
          <w:szCs w:val="24"/>
        </w:rPr>
        <w:t xml:space="preserve"> </w:t>
      </w:r>
      <w:r w:rsidRPr="0013064C">
        <w:rPr>
          <w:rFonts w:cs="Arial"/>
          <w:sz w:val="24"/>
          <w:szCs w:val="24"/>
        </w:rPr>
        <w:t xml:space="preserve">Table 2.1 summarises key information from these </w:t>
      </w:r>
      <w:r w:rsidR="00F75C59" w:rsidRPr="0013064C">
        <w:rPr>
          <w:rFonts w:cs="Arial"/>
          <w:sz w:val="24"/>
          <w:szCs w:val="24"/>
        </w:rPr>
        <w:t xml:space="preserve">guidelines </w:t>
      </w:r>
      <w:r w:rsidRPr="0013064C">
        <w:rPr>
          <w:rFonts w:cs="Arial"/>
          <w:sz w:val="24"/>
          <w:szCs w:val="24"/>
        </w:rPr>
        <w:t>and the sections in each document where this information can be found.</w:t>
      </w:r>
      <w:r w:rsidR="00E5599D" w:rsidRPr="0013064C">
        <w:rPr>
          <w:rFonts w:cs="Arial"/>
          <w:sz w:val="24"/>
          <w:szCs w:val="24"/>
        </w:rPr>
        <w:t xml:space="preserve"> </w:t>
      </w:r>
      <w:r w:rsidRPr="0013064C">
        <w:rPr>
          <w:rFonts w:cs="Arial"/>
          <w:sz w:val="24"/>
          <w:szCs w:val="24"/>
        </w:rPr>
        <w:t xml:space="preserve"> </w:t>
      </w:r>
      <w:r w:rsidR="00A57C69" w:rsidRPr="0013064C">
        <w:rPr>
          <w:rFonts w:cs="Arial"/>
          <w:sz w:val="24"/>
          <w:szCs w:val="24"/>
        </w:rPr>
        <w:t>In addition</w:t>
      </w:r>
      <w:r w:rsidRPr="0013064C">
        <w:rPr>
          <w:rFonts w:cs="Arial"/>
          <w:sz w:val="24"/>
          <w:szCs w:val="24"/>
        </w:rPr>
        <w:t>,</w:t>
      </w:r>
      <w:r w:rsidR="00A57C69" w:rsidRPr="0013064C">
        <w:rPr>
          <w:rFonts w:cs="Arial"/>
          <w:sz w:val="24"/>
          <w:szCs w:val="24"/>
        </w:rPr>
        <w:t xml:space="preserve"> a CONSORT checklist specifically for non-inferio</w:t>
      </w:r>
      <w:r w:rsidR="002E48A4" w:rsidRPr="0013064C">
        <w:rPr>
          <w:rFonts w:cs="Arial"/>
          <w:sz w:val="24"/>
          <w:szCs w:val="24"/>
        </w:rPr>
        <w:t>rity</w:t>
      </w:r>
      <w:r w:rsidRPr="0013064C">
        <w:rPr>
          <w:rFonts w:cs="Arial"/>
          <w:sz w:val="24"/>
          <w:szCs w:val="24"/>
        </w:rPr>
        <w:t xml:space="preserve"> and equivalence</w:t>
      </w:r>
      <w:r w:rsidR="002E48A4" w:rsidRPr="0013064C">
        <w:rPr>
          <w:rFonts w:cs="Arial"/>
          <w:sz w:val="24"/>
          <w:szCs w:val="24"/>
        </w:rPr>
        <w:t xml:space="preserve"> studies was </w:t>
      </w:r>
      <w:r w:rsidRPr="0013064C">
        <w:rPr>
          <w:rFonts w:cs="Arial"/>
          <w:sz w:val="24"/>
          <w:szCs w:val="24"/>
        </w:rPr>
        <w:t>published in 2012 was also reviewed.  The full checklist can be found in Appendix A.</w:t>
      </w:r>
      <w:r w:rsidR="00307F95" w:rsidRPr="0013064C">
        <w:rPr>
          <w:rFonts w:cs="Arial"/>
          <w:sz w:val="24"/>
          <w:szCs w:val="24"/>
        </w:rPr>
        <w:t xml:space="preserve">  </w:t>
      </w:r>
    </w:p>
    <w:p w14:paraId="0236FBF9" w14:textId="77777777" w:rsidR="00CB24E5" w:rsidRPr="0013064C" w:rsidRDefault="00CB24E5" w:rsidP="001B6832">
      <w:pPr>
        <w:pStyle w:val="ReportText"/>
        <w:jc w:val="left"/>
        <w:rPr>
          <w:rFonts w:cs="Arial"/>
          <w:sz w:val="24"/>
          <w:szCs w:val="24"/>
        </w:rPr>
      </w:pPr>
    </w:p>
    <w:p w14:paraId="7F6DAD58" w14:textId="0C9AD78B" w:rsidR="00CB24E5" w:rsidRPr="0013064C" w:rsidRDefault="00032F2D" w:rsidP="001B6832">
      <w:pPr>
        <w:pStyle w:val="ReportText"/>
        <w:jc w:val="left"/>
        <w:rPr>
          <w:rFonts w:cs="Arial"/>
          <w:sz w:val="24"/>
          <w:szCs w:val="24"/>
        </w:rPr>
      </w:pPr>
      <w:r w:rsidRPr="0013064C">
        <w:rPr>
          <w:rFonts w:cs="Arial"/>
          <w:sz w:val="24"/>
          <w:szCs w:val="24"/>
        </w:rPr>
        <w:t xml:space="preserve">Limited guidance on studies demonstrating </w:t>
      </w:r>
      <w:r w:rsidR="00CB24E5" w:rsidRPr="0013064C">
        <w:rPr>
          <w:rFonts w:cs="Arial"/>
          <w:sz w:val="24"/>
          <w:szCs w:val="24"/>
        </w:rPr>
        <w:t xml:space="preserve">non-inferiority or </w:t>
      </w:r>
      <w:r w:rsidRPr="0013064C">
        <w:rPr>
          <w:rFonts w:cs="Arial"/>
          <w:sz w:val="24"/>
          <w:szCs w:val="24"/>
        </w:rPr>
        <w:t>clinical equivalen</w:t>
      </w:r>
      <w:r w:rsidR="00CB24E5" w:rsidRPr="0013064C">
        <w:rPr>
          <w:rFonts w:cs="Arial"/>
          <w:sz w:val="24"/>
          <w:szCs w:val="24"/>
        </w:rPr>
        <w:t>ce</w:t>
      </w:r>
      <w:r w:rsidRPr="0013064C">
        <w:rPr>
          <w:rFonts w:cs="Arial"/>
          <w:sz w:val="24"/>
          <w:szCs w:val="24"/>
        </w:rPr>
        <w:t xml:space="preserve"> was identified from HTA organisations, with the exception of </w:t>
      </w:r>
      <w:proofErr w:type="spellStart"/>
      <w:r w:rsidRPr="0013064C">
        <w:rPr>
          <w:rFonts w:cs="Arial"/>
          <w:sz w:val="24"/>
          <w:szCs w:val="24"/>
        </w:rPr>
        <w:t>IQWiG</w:t>
      </w:r>
      <w:proofErr w:type="spellEnd"/>
      <w:r w:rsidRPr="0013064C">
        <w:rPr>
          <w:rFonts w:cs="Arial"/>
          <w:sz w:val="24"/>
          <w:szCs w:val="24"/>
        </w:rPr>
        <w:t xml:space="preserve"> in Germany. </w:t>
      </w:r>
      <w:r w:rsidR="00E5599D" w:rsidRPr="0013064C">
        <w:rPr>
          <w:rFonts w:cs="Arial"/>
          <w:sz w:val="24"/>
          <w:szCs w:val="24"/>
        </w:rPr>
        <w:t xml:space="preserve"> </w:t>
      </w:r>
      <w:r w:rsidRPr="0013064C">
        <w:rPr>
          <w:rFonts w:cs="Arial"/>
          <w:sz w:val="24"/>
          <w:szCs w:val="24"/>
        </w:rPr>
        <w:t>However, the German HTA system focuses the primary benefit assessment on clinical effectiveness and</w:t>
      </w:r>
      <w:r w:rsidR="00E5599D" w:rsidRPr="0013064C">
        <w:rPr>
          <w:rFonts w:cs="Arial"/>
          <w:sz w:val="24"/>
          <w:szCs w:val="24"/>
        </w:rPr>
        <w:t>,</w:t>
      </w:r>
      <w:r w:rsidRPr="0013064C">
        <w:rPr>
          <w:rFonts w:cs="Arial"/>
          <w:sz w:val="24"/>
          <w:szCs w:val="24"/>
        </w:rPr>
        <w:t xml:space="preserve"> as such</w:t>
      </w:r>
      <w:r w:rsidR="00E5599D" w:rsidRPr="0013064C">
        <w:rPr>
          <w:rFonts w:cs="Arial"/>
          <w:sz w:val="24"/>
          <w:szCs w:val="24"/>
        </w:rPr>
        <w:t>,</w:t>
      </w:r>
      <w:r w:rsidRPr="0013064C">
        <w:rPr>
          <w:rFonts w:cs="Arial"/>
          <w:sz w:val="24"/>
          <w:szCs w:val="24"/>
        </w:rPr>
        <w:t xml:space="preserve"> the </w:t>
      </w:r>
      <w:proofErr w:type="spellStart"/>
      <w:r w:rsidRPr="0013064C">
        <w:rPr>
          <w:rFonts w:cs="Arial"/>
          <w:sz w:val="24"/>
          <w:szCs w:val="24"/>
        </w:rPr>
        <w:t>IQWiG</w:t>
      </w:r>
      <w:proofErr w:type="spellEnd"/>
      <w:r w:rsidRPr="0013064C">
        <w:rPr>
          <w:rFonts w:cs="Arial"/>
          <w:sz w:val="24"/>
          <w:szCs w:val="24"/>
        </w:rPr>
        <w:t xml:space="preserve"> guidelines were very similar to those published by regulatory agencies.  </w:t>
      </w:r>
    </w:p>
    <w:p w14:paraId="6ED1D736" w14:textId="77777777" w:rsidR="00CB24E5" w:rsidRPr="0013064C" w:rsidRDefault="00CB24E5" w:rsidP="001B6832">
      <w:pPr>
        <w:pStyle w:val="ReportText"/>
        <w:jc w:val="left"/>
        <w:rPr>
          <w:rFonts w:cs="Arial"/>
          <w:sz w:val="24"/>
          <w:szCs w:val="24"/>
        </w:rPr>
      </w:pPr>
    </w:p>
    <w:p w14:paraId="215AC9FE" w14:textId="2DA0044D" w:rsidR="00612C69" w:rsidRPr="0013064C" w:rsidRDefault="00032F2D" w:rsidP="001B6832">
      <w:pPr>
        <w:pStyle w:val="ReportText"/>
        <w:jc w:val="left"/>
        <w:rPr>
          <w:rFonts w:cs="Arial"/>
          <w:sz w:val="24"/>
          <w:szCs w:val="24"/>
        </w:rPr>
      </w:pPr>
      <w:r w:rsidRPr="0013064C">
        <w:rPr>
          <w:rFonts w:cs="Arial"/>
          <w:sz w:val="24"/>
          <w:szCs w:val="24"/>
        </w:rPr>
        <w:t xml:space="preserve">No guidelines could be found providing methods on how to </w:t>
      </w:r>
      <w:r w:rsidR="008C5502" w:rsidRPr="0013064C">
        <w:rPr>
          <w:rFonts w:cs="Arial"/>
          <w:sz w:val="24"/>
          <w:szCs w:val="24"/>
        </w:rPr>
        <w:t xml:space="preserve">determine ‘similarity’ of technologies except as a synonym of equivalence.  No guidelines could be found specifically on non-inferiority and equivalence for diagnostic tests. </w:t>
      </w:r>
      <w:r w:rsidR="00CB24E5" w:rsidRPr="0013064C">
        <w:rPr>
          <w:rFonts w:cs="Arial"/>
          <w:sz w:val="24"/>
          <w:szCs w:val="24"/>
        </w:rPr>
        <w:t xml:space="preserve">Where information taken from observational studies was discussed in the guidelines, it was only in the context of estimating M1, the effect size over placebo of the comparator technology. </w:t>
      </w:r>
    </w:p>
    <w:p w14:paraId="26BF3AE1" w14:textId="2A2B4807" w:rsidR="00AF40C4" w:rsidRPr="0013064C" w:rsidRDefault="00AF40C4" w:rsidP="001B6832">
      <w:pPr>
        <w:pStyle w:val="ReportText"/>
        <w:jc w:val="left"/>
        <w:rPr>
          <w:rFonts w:cs="Arial"/>
          <w:sz w:val="24"/>
          <w:szCs w:val="24"/>
        </w:rPr>
      </w:pPr>
    </w:p>
    <w:p w14:paraId="5976FDF9" w14:textId="059ACF98" w:rsidR="00032F2D" w:rsidRPr="0013064C" w:rsidRDefault="00032F2D" w:rsidP="001B6832">
      <w:pPr>
        <w:pStyle w:val="ReportText"/>
        <w:jc w:val="left"/>
        <w:rPr>
          <w:rFonts w:cs="Arial"/>
          <w:sz w:val="24"/>
          <w:szCs w:val="24"/>
        </w:rPr>
      </w:pPr>
      <w:r w:rsidRPr="0013064C">
        <w:rPr>
          <w:rFonts w:cs="Arial"/>
          <w:sz w:val="24"/>
          <w:szCs w:val="24"/>
        </w:rPr>
        <w:t xml:space="preserve">The published guidance identified focuses on the specific requirements for assessing the design quality and interpreting the results of non-inferiority and equivalence trials, in particular the differences between these and superiority trials.  Much of the guidance concerns use of equivalence and non-inferiority studies to demonstrate ‘absolute’ efficacy (assay sensitivity, determination of NI margin).  </w:t>
      </w:r>
      <w:r w:rsidR="007A7D25" w:rsidRPr="0013064C">
        <w:rPr>
          <w:rFonts w:cs="Arial"/>
          <w:sz w:val="24"/>
          <w:szCs w:val="24"/>
        </w:rPr>
        <w:t xml:space="preserve">The guidelines all make it clear that the quality of trials is especially important for non-inferiority studies as </w:t>
      </w:r>
      <w:proofErr w:type="gramStart"/>
      <w:r w:rsidR="007A7D25" w:rsidRPr="0013064C">
        <w:rPr>
          <w:rFonts w:cs="Arial"/>
          <w:sz w:val="24"/>
          <w:szCs w:val="24"/>
        </w:rPr>
        <w:t>poor quality</w:t>
      </w:r>
      <w:proofErr w:type="gramEnd"/>
      <w:r w:rsidR="007A7D25" w:rsidRPr="0013064C">
        <w:rPr>
          <w:rFonts w:cs="Arial"/>
          <w:sz w:val="24"/>
          <w:szCs w:val="24"/>
        </w:rPr>
        <w:t xml:space="preserve"> trials are more likely to lead to a failure to reject the null hypothesis that a new technology is not inferior to or is equivalent to an existing technology even if the opposite is true.</w:t>
      </w:r>
    </w:p>
    <w:p w14:paraId="48CE9BC4" w14:textId="77777777" w:rsidR="00032F2D" w:rsidRPr="0013064C" w:rsidRDefault="00032F2D" w:rsidP="001B6832">
      <w:pPr>
        <w:pStyle w:val="ReportText"/>
        <w:jc w:val="left"/>
        <w:rPr>
          <w:rFonts w:cs="Arial"/>
          <w:sz w:val="24"/>
          <w:szCs w:val="24"/>
        </w:rPr>
      </w:pPr>
    </w:p>
    <w:p w14:paraId="0E740451" w14:textId="748333FB" w:rsidR="00032F2D" w:rsidRPr="0013064C" w:rsidRDefault="00CB24E5" w:rsidP="001B6832">
      <w:pPr>
        <w:pStyle w:val="ReportText"/>
        <w:jc w:val="left"/>
        <w:rPr>
          <w:rFonts w:cs="Arial"/>
          <w:sz w:val="24"/>
          <w:szCs w:val="24"/>
        </w:rPr>
      </w:pPr>
      <w:r w:rsidRPr="0013064C">
        <w:rPr>
          <w:rFonts w:cs="Arial"/>
          <w:sz w:val="24"/>
          <w:szCs w:val="24"/>
        </w:rPr>
        <w:t>Whilst the guidelines are different in the detail that they provide</w:t>
      </w:r>
      <w:r w:rsidR="007A7D25" w:rsidRPr="0013064C">
        <w:rPr>
          <w:rFonts w:cs="Arial"/>
          <w:sz w:val="24"/>
          <w:szCs w:val="24"/>
        </w:rPr>
        <w:t xml:space="preserve"> on how non-inferiority and equivalence studies should be conducted</w:t>
      </w:r>
      <w:r w:rsidRPr="0013064C">
        <w:rPr>
          <w:rFonts w:cs="Arial"/>
          <w:sz w:val="24"/>
          <w:szCs w:val="24"/>
        </w:rPr>
        <w:t xml:space="preserve"> (with the FDA in 2016 being the most comprehensive), the detail contained within can be summarised into several key areas on how margins should be set and how to conduct analysis.</w:t>
      </w:r>
    </w:p>
    <w:p w14:paraId="0A8348F0" w14:textId="5028788F" w:rsidR="007A7D25" w:rsidRPr="0013064C" w:rsidRDefault="007A7D25" w:rsidP="001B6832">
      <w:pPr>
        <w:pStyle w:val="ReportText"/>
        <w:jc w:val="left"/>
        <w:rPr>
          <w:rFonts w:cs="Arial"/>
          <w:b/>
          <w:sz w:val="24"/>
          <w:szCs w:val="24"/>
        </w:rPr>
      </w:pPr>
    </w:p>
    <w:p w14:paraId="641A0A7A" w14:textId="77777777" w:rsidR="004B45B2" w:rsidRPr="0013064C" w:rsidRDefault="004B45B2" w:rsidP="001B6832">
      <w:pPr>
        <w:pStyle w:val="ReportText"/>
        <w:jc w:val="left"/>
        <w:rPr>
          <w:rFonts w:cs="Arial"/>
          <w:sz w:val="24"/>
          <w:szCs w:val="24"/>
        </w:rPr>
      </w:pPr>
      <w:r w:rsidRPr="0013064C">
        <w:rPr>
          <w:rFonts w:cs="Arial"/>
          <w:sz w:val="24"/>
          <w:szCs w:val="24"/>
        </w:rPr>
        <w:t xml:space="preserve">For medical devices, formal regulations in US (510K) and EU (MDR) for medical devices focus on determinations of 'substantial equivalence': evidence is required to </w:t>
      </w:r>
      <w:r w:rsidRPr="0013064C">
        <w:rPr>
          <w:rFonts w:cs="Arial"/>
          <w:sz w:val="24"/>
          <w:szCs w:val="24"/>
        </w:rPr>
        <w:lastRenderedPageBreak/>
        <w:t xml:space="preserve">demonstrate ‘equivalence' to a reference or predicate technology, for which clinical data are available and which has been accepted for clinical use. Such evidence covers technical aspects, biological impact, and clinical aspects including (same) intended use and measurement of intended effect. On the basis of these determinations it may not be necessary to generate new clinical evidence, however for certain technologies such as implantable devices new clinical data will usually be required. </w:t>
      </w:r>
    </w:p>
    <w:p w14:paraId="5610DC5C" w14:textId="77777777" w:rsidR="004B45B2" w:rsidRPr="0013064C" w:rsidRDefault="004B45B2" w:rsidP="001B6832">
      <w:pPr>
        <w:pStyle w:val="ReportText"/>
        <w:jc w:val="left"/>
        <w:rPr>
          <w:rFonts w:cs="Arial"/>
          <w:sz w:val="24"/>
          <w:szCs w:val="24"/>
        </w:rPr>
      </w:pPr>
      <w:r w:rsidRPr="0013064C">
        <w:rPr>
          <w:rFonts w:cs="Arial"/>
          <w:sz w:val="24"/>
          <w:szCs w:val="24"/>
        </w:rPr>
        <w:t xml:space="preserve">In </w:t>
      </w:r>
      <w:proofErr w:type="gramStart"/>
      <w:r w:rsidRPr="0013064C">
        <w:rPr>
          <w:rFonts w:cs="Arial"/>
          <w:sz w:val="24"/>
          <w:szCs w:val="24"/>
        </w:rPr>
        <w:t>general</w:t>
      </w:r>
      <w:proofErr w:type="gramEnd"/>
      <w:r w:rsidRPr="0013064C">
        <w:rPr>
          <w:rFonts w:cs="Arial"/>
          <w:sz w:val="24"/>
          <w:szCs w:val="24"/>
        </w:rPr>
        <w:t xml:space="preserve"> a wider range of study designs (than for new pharmaceuticals) may be considered acceptable. Where new clinical trials are required the same considerations of study design and hypothesis testing for non-inferiority or statistical equivalence (or superiority) as for studies of new pharmaceuticals (and reviewed in this report) will be relevant.</w:t>
      </w:r>
    </w:p>
    <w:p w14:paraId="3BA5D646" w14:textId="77777777" w:rsidR="004B45B2" w:rsidRPr="0013064C" w:rsidRDefault="004B45B2" w:rsidP="001B6832">
      <w:pPr>
        <w:pStyle w:val="ReportText"/>
        <w:jc w:val="left"/>
        <w:rPr>
          <w:rFonts w:cs="Arial"/>
          <w:b/>
          <w:sz w:val="24"/>
          <w:szCs w:val="24"/>
        </w:rPr>
      </w:pPr>
    </w:p>
    <w:p w14:paraId="7A3E877B" w14:textId="746E02B9" w:rsidR="00AF40C4" w:rsidRPr="0013064C" w:rsidRDefault="00AF40C4" w:rsidP="001B6832">
      <w:pPr>
        <w:pStyle w:val="ReportText"/>
        <w:jc w:val="left"/>
        <w:rPr>
          <w:rFonts w:cs="Arial"/>
          <w:b/>
          <w:sz w:val="24"/>
          <w:szCs w:val="24"/>
        </w:rPr>
      </w:pPr>
      <w:r w:rsidRPr="0013064C">
        <w:rPr>
          <w:rFonts w:cs="Arial"/>
          <w:b/>
          <w:sz w:val="24"/>
          <w:szCs w:val="24"/>
        </w:rPr>
        <w:t xml:space="preserve">How the </w:t>
      </w:r>
      <w:r w:rsidR="0008516E" w:rsidRPr="0013064C">
        <w:rPr>
          <w:rFonts w:cs="Arial"/>
          <w:b/>
          <w:sz w:val="24"/>
          <w:szCs w:val="24"/>
        </w:rPr>
        <w:t xml:space="preserve">non-inferiority </w:t>
      </w:r>
      <w:r w:rsidRPr="0013064C">
        <w:rPr>
          <w:rFonts w:cs="Arial"/>
          <w:b/>
          <w:sz w:val="24"/>
          <w:szCs w:val="24"/>
        </w:rPr>
        <w:t>margin should be set</w:t>
      </w:r>
    </w:p>
    <w:p w14:paraId="7DFE67CB" w14:textId="6991E40B" w:rsidR="00AF40C4" w:rsidRPr="0013064C" w:rsidRDefault="00AF40C4" w:rsidP="001B6832">
      <w:pPr>
        <w:pStyle w:val="ReportText"/>
        <w:jc w:val="left"/>
        <w:rPr>
          <w:rFonts w:cs="Arial"/>
          <w:sz w:val="24"/>
          <w:szCs w:val="24"/>
        </w:rPr>
      </w:pPr>
    </w:p>
    <w:p w14:paraId="42CA502A" w14:textId="23848BB3" w:rsidR="0008516E" w:rsidRPr="0013064C" w:rsidRDefault="00917089" w:rsidP="001B6832">
      <w:pPr>
        <w:pStyle w:val="ReportText"/>
        <w:jc w:val="left"/>
        <w:rPr>
          <w:rFonts w:cs="Arial"/>
          <w:sz w:val="24"/>
          <w:szCs w:val="24"/>
        </w:rPr>
      </w:pPr>
      <w:r w:rsidRPr="0013064C">
        <w:rPr>
          <w:rFonts w:cs="Arial"/>
          <w:sz w:val="24"/>
          <w:szCs w:val="24"/>
        </w:rPr>
        <w:t xml:space="preserve">Whilst all guidelines </w:t>
      </w:r>
      <w:r w:rsidR="0008516E" w:rsidRPr="0013064C">
        <w:rPr>
          <w:rFonts w:cs="Arial"/>
          <w:sz w:val="24"/>
          <w:szCs w:val="24"/>
        </w:rPr>
        <w:t>discussed in general terms how margins should be set and that there should be clinical input</w:t>
      </w:r>
      <w:r w:rsidR="006B2A9A" w:rsidRPr="0013064C">
        <w:rPr>
          <w:rFonts w:cs="Arial"/>
          <w:sz w:val="24"/>
          <w:szCs w:val="24"/>
        </w:rPr>
        <w:t>,</w:t>
      </w:r>
      <w:r w:rsidR="0008516E" w:rsidRPr="0013064C">
        <w:rPr>
          <w:rFonts w:cs="Arial"/>
          <w:sz w:val="24"/>
          <w:szCs w:val="24"/>
        </w:rPr>
        <w:t xml:space="preserve"> especially to determine M2, the FDA guideline provided the most detail on actual methods that can be employed to select the margin.  The FDA suggested two potential methods:</w:t>
      </w:r>
    </w:p>
    <w:p w14:paraId="0FBF5FE6" w14:textId="3BCEB1DA" w:rsidR="0008516E" w:rsidRPr="0013064C" w:rsidRDefault="0008516E" w:rsidP="001B6832">
      <w:pPr>
        <w:pStyle w:val="ReportText"/>
        <w:jc w:val="left"/>
        <w:rPr>
          <w:rFonts w:cs="Arial"/>
          <w:sz w:val="24"/>
          <w:szCs w:val="24"/>
        </w:rPr>
      </w:pPr>
    </w:p>
    <w:p w14:paraId="5FD7555E" w14:textId="77777777" w:rsidR="006B2A9A" w:rsidRPr="0013064C" w:rsidRDefault="006B2A9A" w:rsidP="001B6832">
      <w:pPr>
        <w:pStyle w:val="ReportText"/>
        <w:jc w:val="left"/>
        <w:rPr>
          <w:rFonts w:cs="Arial"/>
          <w:sz w:val="24"/>
          <w:szCs w:val="24"/>
        </w:rPr>
      </w:pPr>
    </w:p>
    <w:p w14:paraId="510B9BD7" w14:textId="77BAFBFE" w:rsidR="00D74B16" w:rsidRPr="0013064C" w:rsidRDefault="006B2A9A" w:rsidP="001B6832">
      <w:pPr>
        <w:pStyle w:val="ReportText"/>
        <w:numPr>
          <w:ilvl w:val="0"/>
          <w:numId w:val="3"/>
        </w:numPr>
        <w:ind w:left="851" w:hanging="851"/>
        <w:jc w:val="left"/>
        <w:rPr>
          <w:rFonts w:cs="Arial"/>
          <w:sz w:val="24"/>
          <w:szCs w:val="24"/>
        </w:rPr>
      </w:pPr>
      <w:r w:rsidRPr="0013064C">
        <w:rPr>
          <w:rFonts w:cs="Arial"/>
          <w:i/>
          <w:sz w:val="24"/>
          <w:szCs w:val="24"/>
        </w:rPr>
        <w:t>The fixed-margin method</w:t>
      </w:r>
      <w:r w:rsidRPr="0013064C">
        <w:rPr>
          <w:rFonts w:cs="Arial"/>
          <w:sz w:val="24"/>
          <w:szCs w:val="24"/>
        </w:rPr>
        <w:t>:</w:t>
      </w:r>
      <w:r w:rsidR="00E5599D" w:rsidRPr="0013064C">
        <w:rPr>
          <w:rFonts w:cs="Arial"/>
          <w:sz w:val="24"/>
          <w:szCs w:val="24"/>
        </w:rPr>
        <w:t xml:space="preserve"> </w:t>
      </w:r>
      <w:r w:rsidRPr="0013064C">
        <w:rPr>
          <w:rFonts w:cs="Arial"/>
          <w:sz w:val="24"/>
          <w:szCs w:val="24"/>
        </w:rPr>
        <w:t xml:space="preserve"> Effectiveness of the active comparator (M1) is determined from the smallest effect size of the active comparator from historical evidence, determined by the confidence limit in published effectiveness trials of the active comparator closest to the null effect. M1 can be the non-inferiority margin</w:t>
      </w:r>
      <w:r w:rsidR="00D74B16" w:rsidRPr="0013064C">
        <w:rPr>
          <w:rFonts w:cs="Arial"/>
          <w:sz w:val="24"/>
          <w:szCs w:val="24"/>
        </w:rPr>
        <w:t xml:space="preserve">, </w:t>
      </w:r>
      <w:r w:rsidRPr="0013064C">
        <w:rPr>
          <w:rFonts w:cs="Arial"/>
          <w:sz w:val="24"/>
          <w:szCs w:val="24"/>
        </w:rPr>
        <w:t xml:space="preserve">or clinical judgement can be used to determine the preserved fraction (M2). </w:t>
      </w:r>
    </w:p>
    <w:p w14:paraId="0497E823" w14:textId="0037B69A" w:rsidR="00D74B16" w:rsidRPr="0013064C" w:rsidRDefault="00D74B16" w:rsidP="001B6832">
      <w:pPr>
        <w:pStyle w:val="ReportText"/>
        <w:numPr>
          <w:ilvl w:val="0"/>
          <w:numId w:val="3"/>
        </w:numPr>
        <w:ind w:left="851" w:hanging="851"/>
        <w:jc w:val="left"/>
        <w:rPr>
          <w:rFonts w:cs="Arial"/>
          <w:sz w:val="24"/>
          <w:szCs w:val="24"/>
        </w:rPr>
      </w:pPr>
      <w:r w:rsidRPr="0013064C">
        <w:rPr>
          <w:rFonts w:cs="Arial"/>
          <w:i/>
          <w:sz w:val="24"/>
          <w:szCs w:val="24"/>
        </w:rPr>
        <w:t>The synthesis method</w:t>
      </w:r>
      <w:r w:rsidRPr="0013064C">
        <w:rPr>
          <w:rFonts w:cs="Arial"/>
          <w:sz w:val="24"/>
          <w:szCs w:val="24"/>
        </w:rPr>
        <w:t xml:space="preserve">: </w:t>
      </w:r>
      <w:r w:rsidR="00E5599D" w:rsidRPr="0013064C">
        <w:rPr>
          <w:rFonts w:cs="Arial"/>
          <w:sz w:val="24"/>
          <w:szCs w:val="24"/>
        </w:rPr>
        <w:t xml:space="preserve"> </w:t>
      </w:r>
      <w:r w:rsidRPr="0013064C">
        <w:rPr>
          <w:rFonts w:cs="Arial"/>
          <w:sz w:val="24"/>
          <w:szCs w:val="24"/>
        </w:rPr>
        <w:t xml:space="preserve">Data from the non-inferiority trials are combined to estimate </w:t>
      </w:r>
      <w:r w:rsidR="00E5599D" w:rsidRPr="0013064C">
        <w:rPr>
          <w:rFonts w:cs="Arial"/>
          <w:sz w:val="24"/>
          <w:szCs w:val="24"/>
        </w:rPr>
        <w:t xml:space="preserve">the </w:t>
      </w:r>
      <w:r w:rsidRPr="0013064C">
        <w:rPr>
          <w:rFonts w:cs="Arial"/>
          <w:sz w:val="24"/>
          <w:szCs w:val="24"/>
        </w:rPr>
        <w:t xml:space="preserve">effect of the new technology against placebo. </w:t>
      </w:r>
      <w:r w:rsidR="00E5599D" w:rsidRPr="0013064C">
        <w:rPr>
          <w:rFonts w:cs="Arial"/>
          <w:sz w:val="24"/>
          <w:szCs w:val="24"/>
        </w:rPr>
        <w:t xml:space="preserve"> </w:t>
      </w:r>
      <w:r w:rsidRPr="0013064C">
        <w:rPr>
          <w:rFonts w:cs="Arial"/>
          <w:sz w:val="24"/>
          <w:szCs w:val="24"/>
        </w:rPr>
        <w:t>M1 is not specified but</w:t>
      </w:r>
      <w:r w:rsidR="00E5599D" w:rsidRPr="0013064C">
        <w:rPr>
          <w:rFonts w:cs="Arial"/>
          <w:sz w:val="24"/>
          <w:szCs w:val="24"/>
        </w:rPr>
        <w:t>,</w:t>
      </w:r>
      <w:r w:rsidRPr="0013064C">
        <w:rPr>
          <w:rFonts w:cs="Arial"/>
          <w:sz w:val="24"/>
          <w:szCs w:val="24"/>
        </w:rPr>
        <w:t xml:space="preserve"> rather</w:t>
      </w:r>
      <w:r w:rsidR="00E5599D" w:rsidRPr="0013064C">
        <w:rPr>
          <w:rFonts w:cs="Arial"/>
          <w:sz w:val="24"/>
          <w:szCs w:val="24"/>
        </w:rPr>
        <w:t>,</w:t>
      </w:r>
      <w:r w:rsidRPr="0013064C">
        <w:rPr>
          <w:rFonts w:cs="Arial"/>
          <w:sz w:val="24"/>
          <w:szCs w:val="24"/>
        </w:rPr>
        <w:t xml:space="preserve"> M2 is specified as a percentage of the effect against placebo of the existing technology that the new technology must maintain. </w:t>
      </w:r>
    </w:p>
    <w:p w14:paraId="4236CF59" w14:textId="77777777" w:rsidR="00D74B16" w:rsidRPr="0013064C" w:rsidRDefault="00D74B16" w:rsidP="001B6832"/>
    <w:p w14:paraId="62F2E0B8" w14:textId="32DD70BB" w:rsidR="006B2A9A" w:rsidRPr="0013064C" w:rsidRDefault="00D74B16" w:rsidP="001B6832">
      <w:pPr>
        <w:pStyle w:val="ReportText"/>
        <w:jc w:val="left"/>
        <w:rPr>
          <w:rFonts w:cs="Arial"/>
          <w:sz w:val="24"/>
          <w:szCs w:val="24"/>
        </w:rPr>
      </w:pPr>
      <w:r w:rsidRPr="0013064C">
        <w:rPr>
          <w:rFonts w:cs="Arial"/>
          <w:sz w:val="24"/>
          <w:szCs w:val="24"/>
        </w:rPr>
        <w:t xml:space="preserve">Whilst the synthesis method has advantages over the fixed margin method in terms of a potential for a smaller sample size in the non-inferiority trial, the FDA recommend the </w:t>
      </w:r>
      <w:r w:rsidR="006B2A9A" w:rsidRPr="0013064C">
        <w:rPr>
          <w:rFonts w:cs="Arial"/>
          <w:sz w:val="24"/>
          <w:szCs w:val="24"/>
        </w:rPr>
        <w:t xml:space="preserve">use of a fixed-margin method </w:t>
      </w:r>
      <w:r w:rsidRPr="0013064C">
        <w:rPr>
          <w:rFonts w:cs="Arial"/>
          <w:sz w:val="24"/>
          <w:szCs w:val="24"/>
        </w:rPr>
        <w:t>as it separates the choice of M1 and M2 from the analyses of the study, allows clarity to clinicians on how big the effect size M1 is and how much they would want to preserve and provides certain statistical advantages in terms of accounting for some differences in trials included in the analysis that generates M1</w:t>
      </w:r>
      <w:r w:rsidR="006B2A9A" w:rsidRPr="0013064C">
        <w:rPr>
          <w:rFonts w:cs="Arial"/>
          <w:sz w:val="24"/>
          <w:szCs w:val="24"/>
        </w:rPr>
        <w:t>.</w:t>
      </w:r>
    </w:p>
    <w:p w14:paraId="0389D3FD" w14:textId="77777777" w:rsidR="0008516E" w:rsidRPr="0013064C" w:rsidRDefault="0008516E" w:rsidP="001B6832">
      <w:pPr>
        <w:pStyle w:val="ReportText"/>
        <w:jc w:val="left"/>
        <w:rPr>
          <w:rFonts w:cs="Arial"/>
          <w:sz w:val="24"/>
          <w:szCs w:val="24"/>
        </w:rPr>
      </w:pPr>
    </w:p>
    <w:p w14:paraId="69E1D7F6" w14:textId="77777777" w:rsidR="007A7D25" w:rsidRPr="0013064C" w:rsidRDefault="007A7D25" w:rsidP="001B6832">
      <w:pPr>
        <w:pStyle w:val="ReportText"/>
        <w:jc w:val="left"/>
        <w:rPr>
          <w:rFonts w:cs="Arial"/>
          <w:sz w:val="24"/>
          <w:szCs w:val="24"/>
        </w:rPr>
      </w:pPr>
    </w:p>
    <w:p w14:paraId="2FA5270F" w14:textId="77777777" w:rsidR="0013064C" w:rsidRDefault="0013064C" w:rsidP="001B6832">
      <w:pPr>
        <w:pStyle w:val="ReportText"/>
        <w:jc w:val="left"/>
        <w:rPr>
          <w:rFonts w:cs="Arial"/>
          <w:b/>
          <w:sz w:val="24"/>
          <w:szCs w:val="24"/>
        </w:rPr>
      </w:pPr>
    </w:p>
    <w:p w14:paraId="19C3FEF5" w14:textId="77777777" w:rsidR="0013064C" w:rsidRDefault="0013064C" w:rsidP="001B6832">
      <w:pPr>
        <w:pStyle w:val="ReportText"/>
        <w:jc w:val="left"/>
        <w:rPr>
          <w:rFonts w:cs="Arial"/>
          <w:b/>
          <w:sz w:val="24"/>
          <w:szCs w:val="24"/>
        </w:rPr>
      </w:pPr>
    </w:p>
    <w:p w14:paraId="420EF305" w14:textId="6DD8305B" w:rsidR="00AF40C4" w:rsidRPr="0013064C" w:rsidRDefault="00AF40C4" w:rsidP="001B6832">
      <w:pPr>
        <w:pStyle w:val="ReportText"/>
        <w:jc w:val="left"/>
        <w:rPr>
          <w:rFonts w:cs="Arial"/>
          <w:b/>
          <w:sz w:val="24"/>
          <w:szCs w:val="24"/>
        </w:rPr>
      </w:pPr>
      <w:r w:rsidRPr="0013064C">
        <w:rPr>
          <w:rFonts w:cs="Arial"/>
          <w:b/>
          <w:sz w:val="24"/>
          <w:szCs w:val="24"/>
        </w:rPr>
        <w:t>Justification of margin</w:t>
      </w:r>
    </w:p>
    <w:p w14:paraId="1634027A" w14:textId="0D719336" w:rsidR="00AF40C4" w:rsidRPr="0013064C" w:rsidRDefault="00AF40C4" w:rsidP="001B6832">
      <w:pPr>
        <w:pStyle w:val="ReportText"/>
        <w:jc w:val="left"/>
        <w:rPr>
          <w:rFonts w:cs="Arial"/>
          <w:sz w:val="24"/>
          <w:szCs w:val="24"/>
        </w:rPr>
      </w:pPr>
    </w:p>
    <w:p w14:paraId="592933E4" w14:textId="2D2A425A" w:rsidR="00CB24E5" w:rsidRPr="0013064C" w:rsidRDefault="00B6396A" w:rsidP="001B6832">
      <w:pPr>
        <w:pStyle w:val="ReportText"/>
        <w:jc w:val="left"/>
        <w:rPr>
          <w:rFonts w:cs="Arial"/>
          <w:sz w:val="24"/>
          <w:szCs w:val="24"/>
        </w:rPr>
      </w:pPr>
      <w:r w:rsidRPr="0013064C">
        <w:rPr>
          <w:rFonts w:cs="Arial"/>
          <w:sz w:val="24"/>
          <w:szCs w:val="24"/>
        </w:rPr>
        <w:t xml:space="preserve">The CONSORT checklist is clear that the margin should always be specified and justified and there was consensus amongst guidelines that the non-inferiority margin should be ‘acceptably worse’ and that this should be determined through clinical input.  Whilst not required in the CONSORT checklist, the majority of guidelines specify that statistical considerations should also be </w:t>
      </w:r>
      <w:proofErr w:type="gramStart"/>
      <w:r w:rsidRPr="0013064C">
        <w:rPr>
          <w:rFonts w:cs="Arial"/>
          <w:sz w:val="24"/>
          <w:szCs w:val="24"/>
        </w:rPr>
        <w:t>taken into account</w:t>
      </w:r>
      <w:proofErr w:type="gramEnd"/>
      <w:r w:rsidRPr="0013064C">
        <w:rPr>
          <w:rFonts w:cs="Arial"/>
          <w:sz w:val="24"/>
          <w:szCs w:val="24"/>
        </w:rPr>
        <w:t xml:space="preserve"> when determining the margin (such as variation in the comparator effect size M1). </w:t>
      </w:r>
      <w:r w:rsidR="00E5599D" w:rsidRPr="0013064C">
        <w:rPr>
          <w:rFonts w:cs="Arial"/>
          <w:sz w:val="24"/>
          <w:szCs w:val="24"/>
        </w:rPr>
        <w:t xml:space="preserve"> </w:t>
      </w:r>
      <w:r w:rsidRPr="0013064C">
        <w:rPr>
          <w:rFonts w:cs="Arial"/>
          <w:sz w:val="24"/>
          <w:szCs w:val="24"/>
        </w:rPr>
        <w:t>There was some variation in how ‘acceptably worse’ could be defined, with notably the FDA stating that a larger M2 could be acceptable if other factors, such as safety and ease of administration, were a benefit of the new technology.</w:t>
      </w:r>
      <w:r w:rsidR="00E5599D" w:rsidRPr="0013064C">
        <w:rPr>
          <w:rFonts w:cs="Arial"/>
          <w:sz w:val="24"/>
          <w:szCs w:val="24"/>
        </w:rPr>
        <w:t xml:space="preserve"> </w:t>
      </w:r>
      <w:r w:rsidRPr="0013064C">
        <w:rPr>
          <w:rFonts w:cs="Arial"/>
          <w:sz w:val="24"/>
          <w:szCs w:val="24"/>
        </w:rPr>
        <w:t xml:space="preserve"> </w:t>
      </w:r>
      <w:r w:rsidR="00917089" w:rsidRPr="0013064C">
        <w:rPr>
          <w:rFonts w:cs="Arial"/>
          <w:sz w:val="24"/>
          <w:szCs w:val="24"/>
        </w:rPr>
        <w:t>However, the EMA states that</w:t>
      </w:r>
      <w:r w:rsidR="00E5599D" w:rsidRPr="0013064C">
        <w:rPr>
          <w:rFonts w:cs="Arial"/>
          <w:sz w:val="24"/>
          <w:szCs w:val="24"/>
        </w:rPr>
        <w:t>,</w:t>
      </w:r>
      <w:r w:rsidR="00917089" w:rsidRPr="0013064C">
        <w:rPr>
          <w:rFonts w:cs="Arial"/>
          <w:sz w:val="24"/>
          <w:szCs w:val="24"/>
        </w:rPr>
        <w:t xml:space="preserve"> in such cases</w:t>
      </w:r>
      <w:r w:rsidR="00E5599D" w:rsidRPr="0013064C">
        <w:rPr>
          <w:rFonts w:cs="Arial"/>
          <w:sz w:val="24"/>
          <w:szCs w:val="24"/>
        </w:rPr>
        <w:t>,</w:t>
      </w:r>
      <w:r w:rsidR="00917089" w:rsidRPr="0013064C">
        <w:rPr>
          <w:rFonts w:cs="Arial"/>
          <w:sz w:val="24"/>
          <w:szCs w:val="24"/>
        </w:rPr>
        <w:t xml:space="preserve"> trial evidence should be presented that show non-inferiority for efficacy and superiority for other outcomes.</w:t>
      </w:r>
    </w:p>
    <w:p w14:paraId="6FAA8717" w14:textId="77777777" w:rsidR="00CB24E5" w:rsidRPr="0013064C" w:rsidRDefault="00CB24E5" w:rsidP="001B6832">
      <w:pPr>
        <w:pStyle w:val="ReportText"/>
        <w:jc w:val="left"/>
        <w:rPr>
          <w:rFonts w:cs="Arial"/>
          <w:sz w:val="24"/>
          <w:szCs w:val="24"/>
        </w:rPr>
      </w:pPr>
    </w:p>
    <w:p w14:paraId="6508F639" w14:textId="471BCED7" w:rsidR="00AF40C4" w:rsidRPr="0013064C" w:rsidRDefault="00AF40C4" w:rsidP="001B6832">
      <w:pPr>
        <w:pStyle w:val="ReportText"/>
        <w:jc w:val="left"/>
        <w:rPr>
          <w:rFonts w:cs="Arial"/>
          <w:b/>
          <w:sz w:val="24"/>
          <w:szCs w:val="24"/>
        </w:rPr>
      </w:pPr>
      <w:r w:rsidRPr="0013064C">
        <w:rPr>
          <w:rFonts w:cs="Arial"/>
          <w:b/>
          <w:sz w:val="24"/>
          <w:szCs w:val="24"/>
        </w:rPr>
        <w:t>Who should be included in the analysis</w:t>
      </w:r>
    </w:p>
    <w:p w14:paraId="10DAE999" w14:textId="25FBAA83" w:rsidR="00AF40C4" w:rsidRPr="0013064C" w:rsidRDefault="00AF40C4" w:rsidP="001B6832">
      <w:pPr>
        <w:pStyle w:val="ReportText"/>
        <w:jc w:val="left"/>
        <w:rPr>
          <w:rFonts w:cs="Arial"/>
          <w:sz w:val="24"/>
          <w:szCs w:val="24"/>
        </w:rPr>
      </w:pPr>
    </w:p>
    <w:p w14:paraId="42C93590" w14:textId="60DC69CD" w:rsidR="00B6396A" w:rsidRPr="0013064C" w:rsidRDefault="007A7D25" w:rsidP="001B6832">
      <w:pPr>
        <w:pStyle w:val="ReportText"/>
        <w:jc w:val="left"/>
        <w:rPr>
          <w:rFonts w:cs="Arial"/>
          <w:sz w:val="24"/>
          <w:szCs w:val="24"/>
        </w:rPr>
      </w:pPr>
      <w:r w:rsidRPr="0013064C">
        <w:rPr>
          <w:rFonts w:cs="Arial"/>
          <w:sz w:val="24"/>
          <w:szCs w:val="24"/>
        </w:rPr>
        <w:t>All guidelines highlighted that</w:t>
      </w:r>
      <w:r w:rsidR="00E5599D" w:rsidRPr="0013064C">
        <w:rPr>
          <w:rFonts w:cs="Arial"/>
          <w:sz w:val="24"/>
          <w:szCs w:val="24"/>
        </w:rPr>
        <w:t>,</w:t>
      </w:r>
      <w:r w:rsidRPr="0013064C">
        <w:rPr>
          <w:rFonts w:cs="Arial"/>
          <w:sz w:val="24"/>
          <w:szCs w:val="24"/>
        </w:rPr>
        <w:t xml:space="preserve"> for non-inferiority and equivalence trials</w:t>
      </w:r>
      <w:r w:rsidR="00E5599D" w:rsidRPr="0013064C">
        <w:rPr>
          <w:rFonts w:cs="Arial"/>
          <w:sz w:val="24"/>
          <w:szCs w:val="24"/>
        </w:rPr>
        <w:t>,</w:t>
      </w:r>
      <w:r w:rsidRPr="0013064C">
        <w:rPr>
          <w:rFonts w:cs="Arial"/>
          <w:sz w:val="24"/>
          <w:szCs w:val="24"/>
        </w:rPr>
        <w:t xml:space="preserve"> </w:t>
      </w:r>
      <w:r w:rsidR="00BC741D" w:rsidRPr="0013064C">
        <w:rPr>
          <w:rFonts w:cs="Arial"/>
          <w:sz w:val="24"/>
          <w:szCs w:val="24"/>
        </w:rPr>
        <w:t>intention to treat (ITT)</w:t>
      </w:r>
      <w:r w:rsidRPr="0013064C">
        <w:rPr>
          <w:rFonts w:cs="Arial"/>
          <w:sz w:val="24"/>
          <w:szCs w:val="24"/>
        </w:rPr>
        <w:t xml:space="preserve"> analysis does not lead to a conservative estimate as is the case for superiority trials</w:t>
      </w:r>
      <w:r w:rsidR="00BC741D" w:rsidRPr="0013064C">
        <w:rPr>
          <w:rFonts w:cs="Arial"/>
          <w:sz w:val="24"/>
          <w:szCs w:val="24"/>
        </w:rPr>
        <w:t>.  I</w:t>
      </w:r>
      <w:r w:rsidRPr="0013064C">
        <w:rPr>
          <w:rFonts w:cs="Arial"/>
          <w:sz w:val="24"/>
          <w:szCs w:val="24"/>
        </w:rPr>
        <w:t>nstead</w:t>
      </w:r>
      <w:r w:rsidR="00BC741D" w:rsidRPr="0013064C">
        <w:rPr>
          <w:rFonts w:cs="Arial"/>
          <w:sz w:val="24"/>
          <w:szCs w:val="24"/>
        </w:rPr>
        <w:t>, an ITT analysis</w:t>
      </w:r>
      <w:r w:rsidRPr="0013064C">
        <w:rPr>
          <w:rFonts w:cs="Arial"/>
          <w:sz w:val="24"/>
          <w:szCs w:val="24"/>
        </w:rPr>
        <w:t xml:space="preserve"> can mean that </w:t>
      </w:r>
      <w:r w:rsidR="00BC741D" w:rsidRPr="0013064C">
        <w:rPr>
          <w:rFonts w:cs="Arial"/>
          <w:sz w:val="24"/>
          <w:szCs w:val="24"/>
        </w:rPr>
        <w:t>the effect of the existing technology is ‘watered down’</w:t>
      </w:r>
      <w:r w:rsidR="00E5599D" w:rsidRPr="0013064C">
        <w:rPr>
          <w:rFonts w:cs="Arial"/>
          <w:sz w:val="24"/>
          <w:szCs w:val="24"/>
        </w:rPr>
        <w:t>,</w:t>
      </w:r>
      <w:r w:rsidR="00BC741D" w:rsidRPr="0013064C">
        <w:rPr>
          <w:rFonts w:cs="Arial"/>
          <w:sz w:val="24"/>
          <w:szCs w:val="24"/>
        </w:rPr>
        <w:t xml:space="preserve"> resulting in a failure to correctly identify that the new technology is inferior.  However, a per protocol (PP) analysis can introduce bias in the same way as a superiority trial. </w:t>
      </w:r>
      <w:r w:rsidR="00E5599D" w:rsidRPr="0013064C">
        <w:rPr>
          <w:rFonts w:cs="Arial"/>
          <w:sz w:val="24"/>
          <w:szCs w:val="24"/>
        </w:rPr>
        <w:t xml:space="preserve"> </w:t>
      </w:r>
      <w:r w:rsidR="00BC741D" w:rsidRPr="0013064C">
        <w:rPr>
          <w:rFonts w:cs="Arial"/>
          <w:sz w:val="24"/>
          <w:szCs w:val="24"/>
        </w:rPr>
        <w:t xml:space="preserve">Guidelines therefore suggest actions be taken to minimise protocol violations and drop outs within the trial and that both ITT and PP analyses should be reported. </w:t>
      </w:r>
    </w:p>
    <w:p w14:paraId="18608FB9" w14:textId="77777777" w:rsidR="00B6396A" w:rsidRPr="0013064C" w:rsidRDefault="00B6396A" w:rsidP="001B6832">
      <w:pPr>
        <w:pStyle w:val="ReportText"/>
        <w:jc w:val="left"/>
        <w:rPr>
          <w:rFonts w:cs="Arial"/>
          <w:sz w:val="24"/>
          <w:szCs w:val="24"/>
        </w:rPr>
      </w:pPr>
    </w:p>
    <w:p w14:paraId="708D6D79" w14:textId="174CFAF5" w:rsidR="00AF40C4" w:rsidRPr="0013064C" w:rsidRDefault="00AF40C4" w:rsidP="001B6832">
      <w:pPr>
        <w:pStyle w:val="ReportText"/>
        <w:jc w:val="left"/>
        <w:rPr>
          <w:rFonts w:cs="Arial"/>
          <w:b/>
          <w:sz w:val="24"/>
          <w:szCs w:val="24"/>
        </w:rPr>
      </w:pPr>
      <w:r w:rsidRPr="0013064C">
        <w:rPr>
          <w:rFonts w:cs="Arial"/>
          <w:b/>
          <w:sz w:val="24"/>
          <w:szCs w:val="24"/>
        </w:rPr>
        <w:t xml:space="preserve">How confidence intervals should be </w:t>
      </w:r>
      <w:r w:rsidR="00BC741D" w:rsidRPr="0013064C">
        <w:rPr>
          <w:rFonts w:cs="Arial"/>
          <w:b/>
          <w:sz w:val="24"/>
          <w:szCs w:val="24"/>
        </w:rPr>
        <w:t>used in inference</w:t>
      </w:r>
      <w:r w:rsidRPr="0013064C">
        <w:rPr>
          <w:rFonts w:cs="Arial"/>
          <w:b/>
          <w:sz w:val="24"/>
          <w:szCs w:val="24"/>
        </w:rPr>
        <w:t xml:space="preserve"> </w:t>
      </w:r>
    </w:p>
    <w:p w14:paraId="5AECA6BB" w14:textId="06ECE42F" w:rsidR="00AF40C4" w:rsidRPr="0013064C" w:rsidRDefault="00AF40C4" w:rsidP="001B6832">
      <w:pPr>
        <w:pStyle w:val="ReportText"/>
        <w:jc w:val="left"/>
        <w:rPr>
          <w:rFonts w:cs="Arial"/>
          <w:sz w:val="24"/>
          <w:szCs w:val="24"/>
        </w:rPr>
      </w:pPr>
    </w:p>
    <w:p w14:paraId="48FA8DC1" w14:textId="3D833234" w:rsidR="00BC741D" w:rsidRPr="0013064C" w:rsidRDefault="00BC741D" w:rsidP="001B6832">
      <w:pPr>
        <w:pStyle w:val="ReportText"/>
        <w:jc w:val="left"/>
        <w:rPr>
          <w:rFonts w:cs="Arial"/>
          <w:sz w:val="24"/>
          <w:szCs w:val="24"/>
        </w:rPr>
      </w:pPr>
      <w:r w:rsidRPr="0013064C">
        <w:rPr>
          <w:rFonts w:cs="Arial"/>
          <w:sz w:val="24"/>
          <w:szCs w:val="24"/>
        </w:rPr>
        <w:t xml:space="preserve">All guidelines provided recommendations on whether one or two-sided confidence intervals should be used for non-inferiority trials, although there was consensus that the type 1 error should be set to 0.025 </w:t>
      </w:r>
      <w:r w:rsidR="00C32C28" w:rsidRPr="0013064C">
        <w:rPr>
          <w:rFonts w:cs="Arial"/>
          <w:sz w:val="24"/>
          <w:szCs w:val="24"/>
        </w:rPr>
        <w:t xml:space="preserve">which is the equivalent of a 95% </w:t>
      </w:r>
      <w:proofErr w:type="gramStart"/>
      <w:r w:rsidR="00C32C28" w:rsidRPr="0013064C">
        <w:rPr>
          <w:rFonts w:cs="Arial"/>
          <w:sz w:val="24"/>
          <w:szCs w:val="24"/>
        </w:rPr>
        <w:t>2 sided</w:t>
      </w:r>
      <w:proofErr w:type="gramEnd"/>
      <w:r w:rsidR="00C32C28" w:rsidRPr="0013064C">
        <w:rPr>
          <w:rFonts w:cs="Arial"/>
          <w:sz w:val="24"/>
          <w:szCs w:val="24"/>
        </w:rPr>
        <w:t xml:space="preserve"> interval or 97.5% one-sided interval. </w:t>
      </w:r>
    </w:p>
    <w:p w14:paraId="275C3D95" w14:textId="77777777" w:rsidR="00BC741D" w:rsidRPr="0013064C" w:rsidRDefault="00BC741D" w:rsidP="001B6832">
      <w:pPr>
        <w:pStyle w:val="ReportText"/>
        <w:jc w:val="left"/>
        <w:rPr>
          <w:rFonts w:cs="Arial"/>
          <w:sz w:val="24"/>
          <w:szCs w:val="24"/>
        </w:rPr>
      </w:pPr>
    </w:p>
    <w:p w14:paraId="1E02BC15" w14:textId="085AC3CF" w:rsidR="00A91D80" w:rsidRPr="0013064C" w:rsidRDefault="00A91D80" w:rsidP="001B6832">
      <w:pPr>
        <w:pStyle w:val="ReportText"/>
        <w:jc w:val="left"/>
        <w:rPr>
          <w:rFonts w:cs="Arial"/>
          <w:b/>
          <w:sz w:val="24"/>
          <w:szCs w:val="24"/>
        </w:rPr>
      </w:pPr>
      <w:r w:rsidRPr="0013064C">
        <w:rPr>
          <w:rFonts w:cs="Arial"/>
          <w:b/>
          <w:sz w:val="24"/>
          <w:szCs w:val="24"/>
        </w:rPr>
        <w:t>Dealing with uncertainty</w:t>
      </w:r>
    </w:p>
    <w:p w14:paraId="1D16954C" w14:textId="77777777" w:rsidR="008C3EB3" w:rsidRPr="0013064C" w:rsidRDefault="008C3EB3" w:rsidP="001B6832">
      <w:pPr>
        <w:pStyle w:val="ReportText"/>
        <w:jc w:val="left"/>
        <w:rPr>
          <w:rFonts w:cs="Arial"/>
          <w:b/>
          <w:sz w:val="24"/>
          <w:szCs w:val="24"/>
        </w:rPr>
      </w:pPr>
    </w:p>
    <w:p w14:paraId="644BA37F" w14:textId="066A47D3" w:rsidR="00AF40C4" w:rsidRPr="008C3EB3" w:rsidRDefault="00A91D80" w:rsidP="001B6832">
      <w:pPr>
        <w:pStyle w:val="ReportText"/>
        <w:jc w:val="left"/>
        <w:rPr>
          <w:rFonts w:cs="Arial"/>
        </w:rPr>
        <w:sectPr w:rsidR="00AF40C4" w:rsidRPr="008C3EB3" w:rsidSect="00C60A9E">
          <w:headerReference w:type="even" r:id="rId17"/>
          <w:headerReference w:type="default" r:id="rId18"/>
          <w:footerReference w:type="even" r:id="rId19"/>
          <w:headerReference w:type="first" r:id="rId20"/>
          <w:footerReference w:type="first" r:id="rId21"/>
          <w:pgSz w:w="11906" w:h="16838" w:code="9"/>
          <w:pgMar w:top="992" w:right="1440" w:bottom="1701" w:left="1440" w:header="703" w:footer="527" w:gutter="0"/>
          <w:cols w:space="708"/>
          <w:docGrid w:linePitch="360"/>
        </w:sectPr>
      </w:pPr>
      <w:r w:rsidRPr="0013064C">
        <w:rPr>
          <w:rFonts w:cs="Arial"/>
          <w:sz w:val="24"/>
          <w:szCs w:val="24"/>
        </w:rPr>
        <w:t xml:space="preserve">Methods for dealing with uncertainty in results from non-inferiority and equivalence trials, outside of ensuring ITT and PP analyses were performed, was largely lacking from guidelines.   Only ICH E9 mentioned any additional sensitivity analyses should be performed, to analyse the impact of different ways </w:t>
      </w:r>
      <w:r w:rsidR="008C3EB3" w:rsidRPr="0013064C">
        <w:rPr>
          <w:rFonts w:cs="Arial"/>
          <w:sz w:val="24"/>
          <w:szCs w:val="24"/>
        </w:rPr>
        <w:t>to handle missing data.</w:t>
      </w:r>
    </w:p>
    <w:p w14:paraId="3E7D0E65" w14:textId="7DF7C527" w:rsidR="00AF40C4" w:rsidRPr="0013064C" w:rsidRDefault="00AF40C4" w:rsidP="00AF40C4">
      <w:pPr>
        <w:spacing w:after="120"/>
        <w:rPr>
          <w:rFonts w:ascii="Arial" w:hAnsi="Arial" w:cs="Arial"/>
          <w:b/>
          <w:bCs/>
        </w:rPr>
      </w:pPr>
      <w:r w:rsidRPr="0013064C">
        <w:rPr>
          <w:rFonts w:ascii="Arial" w:hAnsi="Arial" w:cs="Arial"/>
          <w:b/>
          <w:bCs/>
        </w:rPr>
        <w:lastRenderedPageBreak/>
        <w:t>Non-inferiority and clinical equivalence in formal (regulatory and HTA) guidance documents</w:t>
      </w:r>
    </w:p>
    <w:p w14:paraId="255376EF" w14:textId="0E067BC7" w:rsidR="00B267CB" w:rsidRPr="0013064C" w:rsidRDefault="00B267CB" w:rsidP="00AF40C4">
      <w:pPr>
        <w:spacing w:after="120"/>
        <w:rPr>
          <w:rFonts w:ascii="Arial" w:hAnsi="Arial" w:cs="Arial"/>
          <w:b/>
          <w:bCs/>
        </w:rPr>
      </w:pPr>
    </w:p>
    <w:p w14:paraId="2A990418" w14:textId="77777777" w:rsidR="00B267CB" w:rsidRPr="0013064C" w:rsidRDefault="00B267CB" w:rsidP="00AF40C4">
      <w:pPr>
        <w:spacing w:after="120"/>
        <w:rPr>
          <w:rFonts w:ascii="Arial" w:hAnsi="Arial" w:cs="Arial"/>
          <w:b/>
          <w:bCs/>
        </w:rPr>
      </w:pPr>
      <w:r w:rsidRPr="0013064C">
        <w:rPr>
          <w:rFonts w:ascii="Arial" w:hAnsi="Arial" w:cs="Arial"/>
          <w:b/>
          <w:bCs/>
        </w:rPr>
        <w:t>Agency: US FDA (Nov 2016)</w:t>
      </w:r>
    </w:p>
    <w:p w14:paraId="29C749AD" w14:textId="203EF711" w:rsidR="00B267CB" w:rsidRPr="0013064C" w:rsidRDefault="00B267CB" w:rsidP="00AF40C4">
      <w:pPr>
        <w:spacing w:after="120"/>
        <w:rPr>
          <w:rFonts w:ascii="Arial" w:hAnsi="Arial" w:cs="Arial"/>
          <w:b/>
          <w:bCs/>
        </w:rPr>
      </w:pPr>
      <w:r w:rsidRPr="0013064C">
        <w:rPr>
          <w:rFonts w:ascii="Arial" w:hAnsi="Arial" w:cs="Arial"/>
          <w:b/>
          <w:bCs/>
        </w:rPr>
        <w:t>Document: Non-Inferiority (NI) clinical trials to establish effectiveness. Guidance for Industry</w:t>
      </w:r>
    </w:p>
    <w:tbl>
      <w:tblPr>
        <w:tblStyle w:val="TableGrid"/>
        <w:tblW w:w="11349" w:type="dxa"/>
        <w:tblLook w:val="04A0" w:firstRow="1" w:lastRow="0" w:firstColumn="1" w:lastColumn="0" w:noHBand="0" w:noVBand="1"/>
      </w:tblPr>
      <w:tblGrid>
        <w:gridCol w:w="1270"/>
        <w:gridCol w:w="10079"/>
      </w:tblGrid>
      <w:tr w:rsidR="00092E34" w:rsidRPr="0013064C" w14:paraId="2684C6CA" w14:textId="77777777" w:rsidTr="00092E34">
        <w:tc>
          <w:tcPr>
            <w:tcW w:w="1270" w:type="dxa"/>
            <w:tcMar>
              <w:top w:w="11" w:type="dxa"/>
              <w:left w:w="57" w:type="dxa"/>
              <w:bottom w:w="11" w:type="dxa"/>
              <w:right w:w="57" w:type="dxa"/>
            </w:tcMar>
          </w:tcPr>
          <w:p w14:paraId="356503F8" w14:textId="77777777" w:rsidR="00092E34" w:rsidRPr="0013064C" w:rsidRDefault="00092E34" w:rsidP="00BC741D">
            <w:pPr>
              <w:spacing w:before="60" w:after="60"/>
              <w:rPr>
                <w:rFonts w:ascii="Arial" w:hAnsi="Arial" w:cs="Arial"/>
                <w:b/>
                <w:bCs/>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7F5622DF" w14:textId="77777777" w:rsidR="00092E34" w:rsidRPr="0013064C" w:rsidRDefault="00092E34" w:rsidP="00BC741D">
            <w:pPr>
              <w:spacing w:before="60" w:after="60"/>
              <w:rPr>
                <w:rFonts w:ascii="Arial" w:hAnsi="Arial" w:cs="Arial"/>
                <w:b/>
                <w:bCs/>
                <w:sz w:val="24"/>
                <w:szCs w:val="24"/>
              </w:rPr>
            </w:pPr>
            <w:r w:rsidRPr="0013064C">
              <w:rPr>
                <w:rFonts w:ascii="Arial" w:hAnsi="Arial" w:cs="Arial"/>
                <w:b/>
                <w:bCs/>
                <w:sz w:val="24"/>
                <w:szCs w:val="24"/>
              </w:rPr>
              <w:t>Guidance</w:t>
            </w:r>
          </w:p>
        </w:tc>
      </w:tr>
      <w:tr w:rsidR="00092E34" w:rsidRPr="0013064C" w14:paraId="54F85787" w14:textId="77777777" w:rsidTr="00092E34">
        <w:tc>
          <w:tcPr>
            <w:tcW w:w="1270" w:type="dxa"/>
            <w:tcMar>
              <w:top w:w="11" w:type="dxa"/>
              <w:left w:w="57" w:type="dxa"/>
              <w:bottom w:w="11" w:type="dxa"/>
              <w:right w:w="57" w:type="dxa"/>
            </w:tcMar>
          </w:tcPr>
          <w:p w14:paraId="79E069F4" w14:textId="77777777" w:rsidR="00092E34" w:rsidRPr="0013064C" w:rsidRDefault="00092E34" w:rsidP="00BC741D">
            <w:pPr>
              <w:spacing w:before="40" w:after="20"/>
              <w:rPr>
                <w:rFonts w:ascii="Arial" w:hAnsi="Arial" w:cs="Arial"/>
                <w:sz w:val="24"/>
                <w:szCs w:val="24"/>
              </w:rPr>
            </w:pPr>
            <w:r w:rsidRPr="0013064C">
              <w:rPr>
                <w:rFonts w:ascii="Arial" w:hAnsi="Arial" w:cs="Arial"/>
                <w:sz w:val="24"/>
                <w:szCs w:val="24"/>
              </w:rPr>
              <w:t>IIIA (p3-7)</w:t>
            </w:r>
          </w:p>
        </w:tc>
        <w:tc>
          <w:tcPr>
            <w:tcW w:w="10079" w:type="dxa"/>
            <w:tcMar>
              <w:top w:w="11" w:type="dxa"/>
              <w:left w:w="57" w:type="dxa"/>
              <w:bottom w:w="11" w:type="dxa"/>
              <w:right w:w="57" w:type="dxa"/>
            </w:tcMar>
          </w:tcPr>
          <w:p w14:paraId="314DBDF0" w14:textId="77777777" w:rsidR="00092E34" w:rsidRPr="0013064C" w:rsidRDefault="00092E34" w:rsidP="001E7A25">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Null hypothesis for NI studies</w:t>
            </w:r>
          </w:p>
          <w:p w14:paraId="0E7C6340" w14:textId="77777777" w:rsidR="00092E34" w:rsidRPr="0013064C" w:rsidRDefault="00092E34" w:rsidP="001E7A25">
            <w:pPr>
              <w:pStyle w:val="ListParagraph"/>
              <w:numPr>
                <w:ilvl w:val="0"/>
                <w:numId w:val="5"/>
              </w:numPr>
              <w:spacing w:before="40" w:after="20" w:line="240" w:lineRule="auto"/>
              <w:ind w:left="374" w:hanging="283"/>
              <w:jc w:val="left"/>
              <w:rPr>
                <w:rFonts w:cs="Arial"/>
                <w:i/>
                <w:iCs/>
                <w:sz w:val="24"/>
                <w:szCs w:val="24"/>
              </w:rPr>
            </w:pPr>
            <w:r w:rsidRPr="0013064C">
              <w:rPr>
                <w:rFonts w:cs="Arial"/>
                <w:sz w:val="24"/>
                <w:szCs w:val="24"/>
              </w:rPr>
              <w:t xml:space="preserve">Importance of the NI margin </w:t>
            </w:r>
          </w:p>
        </w:tc>
      </w:tr>
      <w:tr w:rsidR="00092E34" w:rsidRPr="0013064C" w14:paraId="0A1F73FA" w14:textId="77777777" w:rsidTr="00092E34">
        <w:tc>
          <w:tcPr>
            <w:tcW w:w="1270" w:type="dxa"/>
            <w:tcMar>
              <w:top w:w="11" w:type="dxa"/>
              <w:left w:w="57" w:type="dxa"/>
              <w:bottom w:w="11" w:type="dxa"/>
              <w:right w:w="57" w:type="dxa"/>
            </w:tcMar>
          </w:tcPr>
          <w:p w14:paraId="166CFF3E" w14:textId="77777777" w:rsidR="00092E34" w:rsidRPr="0013064C" w:rsidRDefault="00092E34" w:rsidP="00BC741D">
            <w:pPr>
              <w:spacing w:before="40" w:after="20"/>
              <w:rPr>
                <w:rFonts w:ascii="Arial" w:hAnsi="Arial" w:cs="Arial"/>
                <w:sz w:val="24"/>
                <w:szCs w:val="24"/>
              </w:rPr>
            </w:pPr>
            <w:r w:rsidRPr="0013064C">
              <w:rPr>
                <w:rFonts w:ascii="Arial" w:hAnsi="Arial" w:cs="Arial"/>
                <w:sz w:val="24"/>
                <w:szCs w:val="24"/>
              </w:rPr>
              <w:t>IIIB (p7)</w:t>
            </w:r>
          </w:p>
        </w:tc>
        <w:tc>
          <w:tcPr>
            <w:tcW w:w="10079" w:type="dxa"/>
            <w:tcMar>
              <w:top w:w="11" w:type="dxa"/>
              <w:left w:w="57" w:type="dxa"/>
              <w:bottom w:w="11" w:type="dxa"/>
              <w:right w:w="57" w:type="dxa"/>
            </w:tcMar>
          </w:tcPr>
          <w:p w14:paraId="6E889DED" w14:textId="77777777" w:rsidR="00092E34" w:rsidRPr="0013064C" w:rsidRDefault="00092E34" w:rsidP="001E7A25">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Reasons for NI design: ethical concerns for placebo use, increasing interest in comparative effectiveness</w:t>
            </w:r>
          </w:p>
        </w:tc>
      </w:tr>
      <w:tr w:rsidR="00092E34" w:rsidRPr="0013064C" w14:paraId="6F48D247" w14:textId="77777777" w:rsidTr="00092E34">
        <w:tc>
          <w:tcPr>
            <w:tcW w:w="1270" w:type="dxa"/>
            <w:tcMar>
              <w:top w:w="11" w:type="dxa"/>
              <w:left w:w="57" w:type="dxa"/>
              <w:bottom w:w="11" w:type="dxa"/>
              <w:right w:w="57" w:type="dxa"/>
            </w:tcMar>
          </w:tcPr>
          <w:p w14:paraId="552AAB75" w14:textId="77777777" w:rsidR="00092E34" w:rsidRPr="0013064C" w:rsidRDefault="00092E34" w:rsidP="00BC741D">
            <w:pPr>
              <w:spacing w:before="40" w:after="20"/>
              <w:rPr>
                <w:rFonts w:ascii="Arial" w:hAnsi="Arial" w:cs="Arial"/>
                <w:sz w:val="24"/>
                <w:szCs w:val="24"/>
              </w:rPr>
            </w:pPr>
            <w:r w:rsidRPr="0013064C">
              <w:rPr>
                <w:rFonts w:ascii="Arial" w:hAnsi="Arial" w:cs="Arial"/>
                <w:sz w:val="24"/>
                <w:szCs w:val="24"/>
              </w:rPr>
              <w:t>IIIC (pp7-11)</w:t>
            </w:r>
          </w:p>
        </w:tc>
        <w:tc>
          <w:tcPr>
            <w:tcW w:w="10079" w:type="dxa"/>
            <w:tcMar>
              <w:top w:w="11" w:type="dxa"/>
              <w:left w:w="57" w:type="dxa"/>
              <w:bottom w:w="11" w:type="dxa"/>
              <w:right w:w="57" w:type="dxa"/>
            </w:tcMar>
          </w:tcPr>
          <w:p w14:paraId="61009B0B" w14:textId="77777777" w:rsidR="00092E34" w:rsidRPr="0013064C" w:rsidRDefault="00092E34" w:rsidP="001E7A25">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NI margin may be based on ‘clinically acceptable difference’ (M</w:t>
            </w:r>
            <w:r w:rsidRPr="0013064C">
              <w:rPr>
                <w:rFonts w:cs="Arial"/>
                <w:sz w:val="24"/>
                <w:szCs w:val="24"/>
                <w:vertAlign w:val="subscript"/>
              </w:rPr>
              <w:t>2</w:t>
            </w:r>
            <w:r w:rsidRPr="0013064C">
              <w:rPr>
                <w:rFonts w:cs="Arial"/>
                <w:sz w:val="24"/>
                <w:szCs w:val="24"/>
              </w:rPr>
              <w:t>) rather than ‘active control effect’ (M</w:t>
            </w:r>
            <w:r w:rsidRPr="0013064C">
              <w:rPr>
                <w:rFonts w:cs="Arial"/>
                <w:sz w:val="24"/>
                <w:szCs w:val="24"/>
                <w:vertAlign w:val="subscript"/>
              </w:rPr>
              <w:t>1</w:t>
            </w:r>
            <w:r w:rsidRPr="0013064C">
              <w:rPr>
                <w:rFonts w:cs="Arial"/>
                <w:sz w:val="24"/>
                <w:szCs w:val="24"/>
              </w:rPr>
              <w:t>)</w:t>
            </w:r>
          </w:p>
        </w:tc>
      </w:tr>
      <w:tr w:rsidR="00092E34" w:rsidRPr="0013064C" w14:paraId="4CE8821F" w14:textId="77777777" w:rsidTr="00092E34">
        <w:tc>
          <w:tcPr>
            <w:tcW w:w="1270" w:type="dxa"/>
            <w:tcMar>
              <w:top w:w="11" w:type="dxa"/>
              <w:left w:w="57" w:type="dxa"/>
              <w:bottom w:w="11" w:type="dxa"/>
              <w:right w:w="57" w:type="dxa"/>
            </w:tcMar>
          </w:tcPr>
          <w:p w14:paraId="7E48DF1B" w14:textId="77777777" w:rsidR="00092E34" w:rsidRPr="0013064C" w:rsidRDefault="00092E34" w:rsidP="00BC741D">
            <w:pPr>
              <w:spacing w:before="40" w:after="20"/>
              <w:rPr>
                <w:rFonts w:ascii="Arial" w:hAnsi="Arial" w:cs="Arial"/>
                <w:sz w:val="24"/>
                <w:szCs w:val="24"/>
              </w:rPr>
            </w:pPr>
            <w:r w:rsidRPr="0013064C">
              <w:rPr>
                <w:rFonts w:ascii="Arial" w:hAnsi="Arial" w:cs="Arial"/>
                <w:sz w:val="24"/>
                <w:szCs w:val="24"/>
              </w:rPr>
              <w:t>IIID (pp11-14)</w:t>
            </w:r>
          </w:p>
        </w:tc>
        <w:tc>
          <w:tcPr>
            <w:tcW w:w="10079" w:type="dxa"/>
            <w:tcMar>
              <w:top w:w="11" w:type="dxa"/>
              <w:left w:w="57" w:type="dxa"/>
              <w:bottom w:w="11" w:type="dxa"/>
              <w:right w:w="57" w:type="dxa"/>
            </w:tcMar>
          </w:tcPr>
          <w:p w14:paraId="4CA3F862" w14:textId="77777777" w:rsidR="00092E34" w:rsidRPr="0013064C" w:rsidRDefault="00092E34" w:rsidP="001E7A25">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Need for assay sensitivity - active control performed as expected (evidence of effect of test drug vs placebo)</w:t>
            </w:r>
          </w:p>
          <w:p w14:paraId="497C9EE5" w14:textId="77777777" w:rsidR="00092E34" w:rsidRPr="0013064C" w:rsidRDefault="00092E34" w:rsidP="001E7A25">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Need for (a) historical evidence of sensitivity to drug effects (HESDE); (b) similarity of trial to historic trials; and (c) good study quality (poor quality may bias results towards non-inferiority)</w:t>
            </w:r>
          </w:p>
        </w:tc>
      </w:tr>
      <w:tr w:rsidR="00092E34" w:rsidRPr="0013064C" w14:paraId="3066534B" w14:textId="77777777" w:rsidTr="00092E34">
        <w:trPr>
          <w:trHeight w:val="885"/>
        </w:trPr>
        <w:tc>
          <w:tcPr>
            <w:tcW w:w="1270" w:type="dxa"/>
            <w:tcMar>
              <w:top w:w="11" w:type="dxa"/>
              <w:left w:w="57" w:type="dxa"/>
              <w:bottom w:w="11" w:type="dxa"/>
              <w:right w:w="57" w:type="dxa"/>
            </w:tcMar>
          </w:tcPr>
          <w:p w14:paraId="614BF867" w14:textId="77777777" w:rsidR="00092E34" w:rsidRPr="0013064C" w:rsidRDefault="00092E34" w:rsidP="00BC741D">
            <w:pPr>
              <w:spacing w:before="40" w:after="20"/>
              <w:rPr>
                <w:rFonts w:ascii="Arial" w:hAnsi="Arial" w:cs="Arial"/>
                <w:sz w:val="24"/>
                <w:szCs w:val="24"/>
              </w:rPr>
            </w:pPr>
            <w:r w:rsidRPr="0013064C">
              <w:rPr>
                <w:rFonts w:ascii="Arial" w:hAnsi="Arial" w:cs="Arial"/>
                <w:sz w:val="24"/>
                <w:szCs w:val="24"/>
              </w:rPr>
              <w:t>IIIE (pp14-15)</w:t>
            </w:r>
          </w:p>
        </w:tc>
        <w:tc>
          <w:tcPr>
            <w:tcW w:w="10079" w:type="dxa"/>
            <w:tcMar>
              <w:top w:w="11" w:type="dxa"/>
              <w:left w:w="57" w:type="dxa"/>
              <w:bottom w:w="11" w:type="dxa"/>
              <w:right w:w="57" w:type="dxa"/>
            </w:tcMar>
          </w:tcPr>
          <w:p w14:paraId="3A8583CD" w14:textId="77777777" w:rsidR="00092E34" w:rsidRPr="0013064C" w:rsidRDefault="00092E34" w:rsidP="001E7A25">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Analytical approaches include the fixed margin method and the synthesis method</w:t>
            </w:r>
          </w:p>
          <w:p w14:paraId="2F1E1708" w14:textId="77777777" w:rsidR="00092E34" w:rsidRPr="0013064C" w:rsidRDefault="00092E34" w:rsidP="001E7A25">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 xml:space="preserve">Caution with sequential testing of different hypotheses for multiple study endpoints, to control Type 1 error rate. </w:t>
            </w:r>
            <w:proofErr w:type="gramStart"/>
            <w:r w:rsidRPr="0013064C">
              <w:rPr>
                <w:rFonts w:cs="Arial"/>
                <w:sz w:val="24"/>
                <w:szCs w:val="24"/>
              </w:rPr>
              <w:t>Nevertheless</w:t>
            </w:r>
            <w:proofErr w:type="gramEnd"/>
            <w:r w:rsidRPr="0013064C">
              <w:rPr>
                <w:rFonts w:cs="Arial"/>
                <w:sz w:val="24"/>
                <w:szCs w:val="24"/>
              </w:rPr>
              <w:t xml:space="preserve"> a planned NI trial may generally be used to test for superiority (p31)</w:t>
            </w:r>
          </w:p>
        </w:tc>
      </w:tr>
    </w:tbl>
    <w:p w14:paraId="782307F1" w14:textId="4B3EDA0B" w:rsidR="008C03EF" w:rsidRPr="0013064C" w:rsidRDefault="008C03EF"/>
    <w:p w14:paraId="4504AC35" w14:textId="77777777" w:rsidR="00B267CB" w:rsidRPr="0013064C" w:rsidRDefault="00B267CB" w:rsidP="00B267CB">
      <w:pPr>
        <w:spacing w:after="120"/>
        <w:rPr>
          <w:rFonts w:ascii="Arial" w:hAnsi="Arial" w:cs="Arial"/>
          <w:b/>
          <w:bCs/>
        </w:rPr>
      </w:pPr>
      <w:r w:rsidRPr="0013064C">
        <w:rPr>
          <w:rFonts w:ascii="Arial" w:hAnsi="Arial" w:cs="Arial"/>
          <w:b/>
          <w:bCs/>
        </w:rPr>
        <w:t>Agency: EMEA (Jan 2006)</w:t>
      </w:r>
      <w:r w:rsidRPr="0013064C">
        <w:rPr>
          <w:rFonts w:ascii="Arial" w:hAnsi="Arial" w:cs="Arial"/>
          <w:b/>
          <w:bCs/>
        </w:rPr>
        <w:tab/>
      </w:r>
    </w:p>
    <w:p w14:paraId="453FC338" w14:textId="5D5FF346" w:rsidR="00B267CB" w:rsidRPr="0013064C" w:rsidRDefault="00B267CB" w:rsidP="00B267CB">
      <w:pPr>
        <w:spacing w:after="120"/>
        <w:rPr>
          <w:rFonts w:ascii="Arial" w:hAnsi="Arial" w:cs="Arial"/>
          <w:b/>
          <w:bCs/>
        </w:rPr>
      </w:pPr>
      <w:r w:rsidRPr="0013064C">
        <w:rPr>
          <w:rFonts w:ascii="Arial" w:hAnsi="Arial" w:cs="Arial"/>
          <w:b/>
          <w:bCs/>
        </w:rPr>
        <w:t>Document: Guideline on the choice of the non-inferiority margin</w:t>
      </w:r>
    </w:p>
    <w:tbl>
      <w:tblPr>
        <w:tblStyle w:val="TableGrid"/>
        <w:tblW w:w="11349" w:type="dxa"/>
        <w:tblLook w:val="04A0" w:firstRow="1" w:lastRow="0" w:firstColumn="1" w:lastColumn="0" w:noHBand="0" w:noVBand="1"/>
      </w:tblPr>
      <w:tblGrid>
        <w:gridCol w:w="1270"/>
        <w:gridCol w:w="10079"/>
      </w:tblGrid>
      <w:tr w:rsidR="008C03EF" w:rsidRPr="0013064C" w14:paraId="47B13C95" w14:textId="77777777" w:rsidTr="00092E34">
        <w:tc>
          <w:tcPr>
            <w:tcW w:w="1270" w:type="dxa"/>
            <w:tcMar>
              <w:top w:w="11" w:type="dxa"/>
              <w:left w:w="57" w:type="dxa"/>
              <w:bottom w:w="11" w:type="dxa"/>
              <w:right w:w="57" w:type="dxa"/>
            </w:tcMar>
          </w:tcPr>
          <w:p w14:paraId="3D010293" w14:textId="3CEB8138" w:rsidR="008C03EF" w:rsidRPr="0013064C" w:rsidRDefault="008C03EF" w:rsidP="008C03EF">
            <w:pPr>
              <w:spacing w:before="60" w:after="60"/>
              <w:rPr>
                <w:rFonts w:ascii="Arial" w:hAnsi="Arial" w:cs="Arial"/>
                <w:b/>
                <w:bCs/>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6ACCA3B5" w14:textId="31C9083A" w:rsidR="008C03EF" w:rsidRPr="0013064C" w:rsidRDefault="008C03EF" w:rsidP="008C03EF">
            <w:pPr>
              <w:spacing w:before="60" w:after="60"/>
              <w:rPr>
                <w:rFonts w:ascii="Arial" w:hAnsi="Arial" w:cs="Arial"/>
                <w:b/>
                <w:bCs/>
                <w:sz w:val="24"/>
                <w:szCs w:val="24"/>
              </w:rPr>
            </w:pPr>
            <w:r w:rsidRPr="0013064C">
              <w:rPr>
                <w:rFonts w:ascii="Arial" w:hAnsi="Arial" w:cs="Arial"/>
                <w:b/>
                <w:bCs/>
                <w:sz w:val="24"/>
                <w:szCs w:val="24"/>
              </w:rPr>
              <w:t>Guidance</w:t>
            </w:r>
          </w:p>
        </w:tc>
      </w:tr>
      <w:tr w:rsidR="008C03EF" w:rsidRPr="0013064C" w14:paraId="5A6F8945" w14:textId="77777777" w:rsidTr="00092E34">
        <w:tc>
          <w:tcPr>
            <w:tcW w:w="1270" w:type="dxa"/>
            <w:tcMar>
              <w:top w:w="11" w:type="dxa"/>
              <w:left w:w="57" w:type="dxa"/>
              <w:bottom w:w="11" w:type="dxa"/>
              <w:right w:w="57" w:type="dxa"/>
            </w:tcMar>
          </w:tcPr>
          <w:p w14:paraId="2E21CB3E" w14:textId="77777777" w:rsidR="008C03EF" w:rsidRPr="0013064C" w:rsidRDefault="008C03EF" w:rsidP="008C03EF">
            <w:pPr>
              <w:spacing w:before="40" w:after="20"/>
              <w:rPr>
                <w:rFonts w:ascii="Arial" w:hAnsi="Arial" w:cs="Arial"/>
                <w:sz w:val="24"/>
                <w:szCs w:val="24"/>
              </w:rPr>
            </w:pPr>
            <w:r w:rsidRPr="0013064C">
              <w:rPr>
                <w:rFonts w:ascii="Arial" w:hAnsi="Arial" w:cs="Arial"/>
                <w:sz w:val="24"/>
                <w:szCs w:val="24"/>
              </w:rPr>
              <w:t>Intro (p3)</w:t>
            </w:r>
          </w:p>
        </w:tc>
        <w:tc>
          <w:tcPr>
            <w:tcW w:w="10079" w:type="dxa"/>
            <w:tcMar>
              <w:top w:w="11" w:type="dxa"/>
              <w:left w:w="57" w:type="dxa"/>
              <w:bottom w:w="11" w:type="dxa"/>
              <w:right w:w="57" w:type="dxa"/>
            </w:tcMar>
          </w:tcPr>
          <w:p w14:paraId="617ED99F" w14:textId="77777777" w:rsidR="008C03EF" w:rsidRPr="0013064C" w:rsidRDefault="008C03EF" w:rsidP="008C03EF">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 xml:space="preserve">Possible rationale for NI studies: (a) essential similarity but bioequivalence studies not possible (modified release, topical preparations); (b) potential safety advantage but </w:t>
            </w:r>
            <w:r w:rsidRPr="0013064C">
              <w:rPr>
                <w:rFonts w:cs="Arial"/>
                <w:sz w:val="24"/>
                <w:szCs w:val="24"/>
              </w:rPr>
              <w:lastRenderedPageBreak/>
              <w:t>requires efficacy comparison for risk-benefit assessment; (c) direct comparison against active comparator needed for assessing risk-benefit; (d) loss of efficacy compared to active comparator is unacceptable; (e) use of placebo arm not possible in disease area</w:t>
            </w:r>
          </w:p>
        </w:tc>
      </w:tr>
      <w:tr w:rsidR="008C03EF" w:rsidRPr="0013064C" w14:paraId="655320EC" w14:textId="77777777" w:rsidTr="00092E34">
        <w:tc>
          <w:tcPr>
            <w:tcW w:w="1270" w:type="dxa"/>
            <w:tcMar>
              <w:top w:w="11" w:type="dxa"/>
              <w:left w:w="57" w:type="dxa"/>
              <w:bottom w:w="11" w:type="dxa"/>
              <w:right w:w="57" w:type="dxa"/>
            </w:tcMar>
          </w:tcPr>
          <w:p w14:paraId="3AD8FAA8" w14:textId="77777777" w:rsidR="008C03EF" w:rsidRPr="0013064C" w:rsidRDefault="008C03EF" w:rsidP="008C03EF">
            <w:pPr>
              <w:spacing w:before="40" w:after="20"/>
              <w:rPr>
                <w:rFonts w:ascii="Arial" w:hAnsi="Arial" w:cs="Arial"/>
                <w:sz w:val="24"/>
                <w:szCs w:val="24"/>
              </w:rPr>
            </w:pPr>
            <w:r w:rsidRPr="0013064C">
              <w:rPr>
                <w:rFonts w:ascii="Arial" w:hAnsi="Arial" w:cs="Arial"/>
                <w:sz w:val="24"/>
                <w:szCs w:val="24"/>
              </w:rPr>
              <w:lastRenderedPageBreak/>
              <w:t>2 (pp4-5)</w:t>
            </w:r>
          </w:p>
        </w:tc>
        <w:tc>
          <w:tcPr>
            <w:tcW w:w="10079" w:type="dxa"/>
            <w:tcMar>
              <w:top w:w="11" w:type="dxa"/>
              <w:left w:w="57" w:type="dxa"/>
              <w:bottom w:w="11" w:type="dxa"/>
              <w:right w:w="57" w:type="dxa"/>
            </w:tcMar>
          </w:tcPr>
          <w:p w14:paraId="3114C457" w14:textId="77777777" w:rsidR="008C03EF" w:rsidRPr="0013064C" w:rsidRDefault="008C03EF" w:rsidP="008C03EF">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Non-inferiority margins for trials based on combination of statistical reasoning and clinical judgement, independent of statistical power considerations)</w:t>
            </w:r>
          </w:p>
          <w:p w14:paraId="04BD181F" w14:textId="77777777" w:rsidR="008C03EF" w:rsidRPr="0013064C" w:rsidRDefault="008C03EF" w:rsidP="008C03EF">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Recommend 3 arm trials to establish efficacy in relation to placebo and active comparators</w:t>
            </w:r>
          </w:p>
        </w:tc>
      </w:tr>
      <w:tr w:rsidR="008C03EF" w:rsidRPr="0013064C" w14:paraId="1F4BB3C5" w14:textId="77777777" w:rsidTr="00092E34">
        <w:tc>
          <w:tcPr>
            <w:tcW w:w="1270" w:type="dxa"/>
            <w:tcMar>
              <w:top w:w="11" w:type="dxa"/>
              <w:left w:w="57" w:type="dxa"/>
              <w:bottom w:w="11" w:type="dxa"/>
              <w:right w:w="57" w:type="dxa"/>
            </w:tcMar>
          </w:tcPr>
          <w:p w14:paraId="260AE317" w14:textId="77777777" w:rsidR="008C03EF" w:rsidRPr="0013064C" w:rsidRDefault="008C03EF" w:rsidP="008C03EF">
            <w:pPr>
              <w:spacing w:before="40" w:after="20"/>
              <w:rPr>
                <w:rFonts w:ascii="Arial" w:hAnsi="Arial" w:cs="Arial"/>
                <w:sz w:val="24"/>
                <w:szCs w:val="24"/>
              </w:rPr>
            </w:pPr>
            <w:r w:rsidRPr="0013064C">
              <w:rPr>
                <w:rFonts w:ascii="Arial" w:hAnsi="Arial" w:cs="Arial"/>
                <w:sz w:val="24"/>
                <w:szCs w:val="24"/>
              </w:rPr>
              <w:t>3.2 (pp6-7)</w:t>
            </w:r>
          </w:p>
        </w:tc>
        <w:tc>
          <w:tcPr>
            <w:tcW w:w="10079" w:type="dxa"/>
            <w:tcMar>
              <w:top w:w="11" w:type="dxa"/>
              <w:left w:w="57" w:type="dxa"/>
              <w:bottom w:w="11" w:type="dxa"/>
              <w:right w:w="57" w:type="dxa"/>
            </w:tcMar>
          </w:tcPr>
          <w:p w14:paraId="0AB6BBB5" w14:textId="77777777" w:rsidR="008C03EF" w:rsidRPr="0013064C" w:rsidRDefault="008C03EF" w:rsidP="008C03EF">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2-arm trials: need systematic review of studies comparing reference with placebo. Possible issues: a) selection bias; (b) constant trial designs and clinical practice over time; c) constant effects over time; (d) publication bias</w:t>
            </w:r>
          </w:p>
        </w:tc>
      </w:tr>
      <w:tr w:rsidR="008C03EF" w:rsidRPr="0013064C" w14:paraId="6A0B1DB2" w14:textId="77777777" w:rsidTr="00092E34">
        <w:tc>
          <w:tcPr>
            <w:tcW w:w="1270" w:type="dxa"/>
            <w:tcMar>
              <w:top w:w="11" w:type="dxa"/>
              <w:left w:w="57" w:type="dxa"/>
              <w:bottom w:w="11" w:type="dxa"/>
              <w:right w:w="57" w:type="dxa"/>
            </w:tcMar>
          </w:tcPr>
          <w:p w14:paraId="007EA79F" w14:textId="77777777" w:rsidR="008C03EF" w:rsidRPr="0013064C" w:rsidRDefault="008C03EF" w:rsidP="008C03EF">
            <w:pPr>
              <w:spacing w:before="40" w:after="20"/>
              <w:rPr>
                <w:rFonts w:ascii="Arial" w:hAnsi="Arial" w:cs="Arial"/>
                <w:sz w:val="24"/>
                <w:szCs w:val="24"/>
              </w:rPr>
            </w:pPr>
            <w:r w:rsidRPr="0013064C">
              <w:rPr>
                <w:rFonts w:ascii="Arial" w:hAnsi="Arial" w:cs="Arial"/>
                <w:sz w:val="24"/>
                <w:szCs w:val="24"/>
              </w:rPr>
              <w:t>4 (pp8-9)</w:t>
            </w:r>
          </w:p>
        </w:tc>
        <w:tc>
          <w:tcPr>
            <w:tcW w:w="10079" w:type="dxa"/>
            <w:tcMar>
              <w:top w:w="11" w:type="dxa"/>
              <w:left w:w="57" w:type="dxa"/>
              <w:bottom w:w="11" w:type="dxa"/>
              <w:right w:w="57" w:type="dxa"/>
            </w:tcMar>
          </w:tcPr>
          <w:p w14:paraId="15F13FA7" w14:textId="77777777" w:rsidR="008C03EF" w:rsidRPr="0013064C" w:rsidRDefault="008C03EF" w:rsidP="008C03EF">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NI Margin (delta) for studies showing no important loss of efficacy for test product vs reference cannot be based only on past trials of reference vs placebo</w:t>
            </w:r>
          </w:p>
          <w:p w14:paraId="6323A8AF" w14:textId="2327D889" w:rsidR="008C03EF" w:rsidRPr="0013064C" w:rsidRDefault="008C03EF" w:rsidP="008C03EF">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 xml:space="preserve">Wider non-inferiority margins for efficacy may be acceptable if there are other advantages (e.g. safety, administration, posology, superiority on secondary efficacy endpoint, etc.) </w:t>
            </w:r>
          </w:p>
        </w:tc>
      </w:tr>
    </w:tbl>
    <w:p w14:paraId="72F49D5C" w14:textId="2015712F" w:rsidR="008C03EF" w:rsidRPr="0013064C" w:rsidRDefault="008C03EF"/>
    <w:p w14:paraId="2AD9AFE3" w14:textId="77777777" w:rsidR="00B13B73" w:rsidRPr="0013064C" w:rsidRDefault="00B267CB" w:rsidP="00B13B73">
      <w:pPr>
        <w:spacing w:after="120"/>
        <w:rPr>
          <w:rFonts w:ascii="Arial" w:hAnsi="Arial" w:cs="Arial"/>
          <w:b/>
          <w:bCs/>
        </w:rPr>
      </w:pPr>
      <w:r w:rsidRPr="0013064C">
        <w:rPr>
          <w:rFonts w:ascii="Arial" w:hAnsi="Arial" w:cs="Arial"/>
          <w:b/>
          <w:bCs/>
        </w:rPr>
        <w:t>Agency: EMEA ICD E3 (Jul 1996)</w:t>
      </w:r>
      <w:r w:rsidRPr="0013064C">
        <w:rPr>
          <w:rFonts w:ascii="Arial" w:hAnsi="Arial" w:cs="Arial"/>
          <w:b/>
          <w:bCs/>
        </w:rPr>
        <w:tab/>
      </w:r>
    </w:p>
    <w:p w14:paraId="71A3DCEE" w14:textId="4BB6474A" w:rsidR="00B267CB" w:rsidRPr="0013064C" w:rsidRDefault="00B267CB" w:rsidP="00B13B73">
      <w:pPr>
        <w:spacing w:after="120"/>
        <w:rPr>
          <w:rFonts w:ascii="Arial" w:hAnsi="Arial" w:cs="Arial"/>
          <w:b/>
          <w:bCs/>
        </w:rPr>
      </w:pPr>
      <w:r w:rsidRPr="0013064C">
        <w:rPr>
          <w:rFonts w:ascii="Arial" w:hAnsi="Arial" w:cs="Arial"/>
          <w:b/>
          <w:bCs/>
        </w:rPr>
        <w:t>Document: Structure and content of clinical study reports</w:t>
      </w:r>
    </w:p>
    <w:tbl>
      <w:tblPr>
        <w:tblStyle w:val="TableGrid"/>
        <w:tblW w:w="11349" w:type="dxa"/>
        <w:tblLook w:val="04A0" w:firstRow="1" w:lastRow="0" w:firstColumn="1" w:lastColumn="0" w:noHBand="0" w:noVBand="1"/>
      </w:tblPr>
      <w:tblGrid>
        <w:gridCol w:w="1270"/>
        <w:gridCol w:w="10079"/>
      </w:tblGrid>
      <w:tr w:rsidR="0032609E" w:rsidRPr="0013064C" w14:paraId="121BC9C2" w14:textId="77777777" w:rsidTr="00092E34">
        <w:tc>
          <w:tcPr>
            <w:tcW w:w="1270" w:type="dxa"/>
            <w:tcMar>
              <w:top w:w="11" w:type="dxa"/>
              <w:left w:w="57" w:type="dxa"/>
              <w:bottom w:w="11" w:type="dxa"/>
              <w:right w:w="57" w:type="dxa"/>
            </w:tcMar>
          </w:tcPr>
          <w:p w14:paraId="60EB4262" w14:textId="48BC9237"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3C5E8B89" w14:textId="05421636"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Guidance</w:t>
            </w:r>
          </w:p>
        </w:tc>
      </w:tr>
      <w:tr w:rsidR="0032609E" w:rsidRPr="0013064C" w14:paraId="1D22DD2E" w14:textId="77777777" w:rsidTr="00092E34">
        <w:tc>
          <w:tcPr>
            <w:tcW w:w="1270" w:type="dxa"/>
            <w:tcMar>
              <w:top w:w="11" w:type="dxa"/>
              <w:left w:w="57" w:type="dxa"/>
              <w:bottom w:w="11" w:type="dxa"/>
              <w:right w:w="57" w:type="dxa"/>
            </w:tcMar>
          </w:tcPr>
          <w:p w14:paraId="5AB0BB19"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9.2 (p11)</w:t>
            </w:r>
          </w:p>
        </w:tc>
        <w:tc>
          <w:tcPr>
            <w:tcW w:w="10079" w:type="dxa"/>
            <w:tcMar>
              <w:top w:w="11" w:type="dxa"/>
              <w:left w:w="57" w:type="dxa"/>
              <w:bottom w:w="11" w:type="dxa"/>
              <w:right w:w="57" w:type="dxa"/>
            </w:tcMar>
          </w:tcPr>
          <w:p w14:paraId="490698DB"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For studies demonstrating efficacy by showing equivalence (absence of a specified degree of inferiority), problems associated with such study designs should be addressed, so there is a basis for considering the study capable of distinguishing active from inactive therapy</w:t>
            </w:r>
          </w:p>
        </w:tc>
      </w:tr>
      <w:tr w:rsidR="0032609E" w:rsidRPr="0013064C" w14:paraId="71D3B132" w14:textId="77777777" w:rsidTr="00092E34">
        <w:tc>
          <w:tcPr>
            <w:tcW w:w="1270" w:type="dxa"/>
            <w:tcMar>
              <w:top w:w="11" w:type="dxa"/>
              <w:left w:w="57" w:type="dxa"/>
              <w:bottom w:w="11" w:type="dxa"/>
              <w:right w:w="57" w:type="dxa"/>
            </w:tcMar>
          </w:tcPr>
          <w:p w14:paraId="4CD75BC3"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11.4.2.7 (p23)</w:t>
            </w:r>
          </w:p>
        </w:tc>
        <w:tc>
          <w:tcPr>
            <w:tcW w:w="10079" w:type="dxa"/>
            <w:tcMar>
              <w:top w:w="11" w:type="dxa"/>
              <w:left w:w="57" w:type="dxa"/>
              <w:bottom w:w="11" w:type="dxa"/>
              <w:right w:w="57" w:type="dxa"/>
            </w:tcMar>
          </w:tcPr>
          <w:p w14:paraId="7CE82B57"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For active control studies intended to show equivalence the analysis should show the confidence interval for the comparison between the two agents for critical endpoints and the relation of that interval to the prespecified degree of inferiority that would be considered unacceptable</w:t>
            </w:r>
          </w:p>
        </w:tc>
      </w:tr>
    </w:tbl>
    <w:p w14:paraId="2D45D985" w14:textId="510313B0" w:rsidR="008C03EF" w:rsidRPr="0013064C" w:rsidRDefault="008C03EF"/>
    <w:p w14:paraId="44730B1C" w14:textId="77777777" w:rsidR="0013064C" w:rsidRDefault="0013064C" w:rsidP="00B13B73">
      <w:pPr>
        <w:spacing w:after="120"/>
        <w:rPr>
          <w:rFonts w:ascii="Arial" w:hAnsi="Arial" w:cs="Arial"/>
          <w:b/>
          <w:bCs/>
        </w:rPr>
      </w:pPr>
    </w:p>
    <w:p w14:paraId="15ADE852" w14:textId="0F18C610" w:rsidR="00B13B73" w:rsidRPr="0013064C" w:rsidRDefault="00B267CB" w:rsidP="00B13B73">
      <w:pPr>
        <w:spacing w:after="120"/>
        <w:rPr>
          <w:rFonts w:ascii="Arial" w:hAnsi="Arial" w:cs="Arial"/>
          <w:b/>
          <w:bCs/>
        </w:rPr>
      </w:pPr>
      <w:r w:rsidRPr="0013064C">
        <w:rPr>
          <w:rFonts w:ascii="Arial" w:hAnsi="Arial" w:cs="Arial"/>
          <w:b/>
          <w:bCs/>
        </w:rPr>
        <w:lastRenderedPageBreak/>
        <w:t>Agency: EMEA ICD E9 (Sep 1998)</w:t>
      </w:r>
      <w:r w:rsidRPr="0013064C">
        <w:rPr>
          <w:rFonts w:ascii="Arial" w:hAnsi="Arial" w:cs="Arial"/>
          <w:b/>
          <w:bCs/>
        </w:rPr>
        <w:tab/>
      </w:r>
    </w:p>
    <w:p w14:paraId="7E173049" w14:textId="5B242BB7" w:rsidR="00B267CB" w:rsidRPr="0013064C" w:rsidRDefault="00B267CB" w:rsidP="00B13B73">
      <w:pPr>
        <w:spacing w:after="120"/>
      </w:pPr>
      <w:r w:rsidRPr="0013064C">
        <w:rPr>
          <w:rFonts w:ascii="Arial" w:hAnsi="Arial" w:cs="Arial"/>
          <w:b/>
          <w:bCs/>
        </w:rPr>
        <w:t>Document: Statistical principles for clinical trials</w:t>
      </w:r>
    </w:p>
    <w:tbl>
      <w:tblPr>
        <w:tblStyle w:val="TableGrid"/>
        <w:tblW w:w="11349" w:type="dxa"/>
        <w:tblLook w:val="04A0" w:firstRow="1" w:lastRow="0" w:firstColumn="1" w:lastColumn="0" w:noHBand="0" w:noVBand="1"/>
      </w:tblPr>
      <w:tblGrid>
        <w:gridCol w:w="1270"/>
        <w:gridCol w:w="10079"/>
      </w:tblGrid>
      <w:tr w:rsidR="0032609E" w:rsidRPr="0013064C" w14:paraId="6E051753" w14:textId="77777777" w:rsidTr="00092E34">
        <w:tc>
          <w:tcPr>
            <w:tcW w:w="1270" w:type="dxa"/>
            <w:tcMar>
              <w:top w:w="11" w:type="dxa"/>
              <w:left w:w="57" w:type="dxa"/>
              <w:bottom w:w="11" w:type="dxa"/>
              <w:right w:w="57" w:type="dxa"/>
            </w:tcMar>
          </w:tcPr>
          <w:p w14:paraId="4531EF30" w14:textId="453CF9EC"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27B1E0AD" w14:textId="4F4C9DD0"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Guidance</w:t>
            </w:r>
          </w:p>
        </w:tc>
      </w:tr>
      <w:tr w:rsidR="0032609E" w:rsidRPr="0013064C" w14:paraId="33F95F5C" w14:textId="77777777" w:rsidTr="00092E34">
        <w:tc>
          <w:tcPr>
            <w:tcW w:w="1270" w:type="dxa"/>
            <w:tcMar>
              <w:top w:w="11" w:type="dxa"/>
              <w:left w:w="57" w:type="dxa"/>
              <w:bottom w:w="11" w:type="dxa"/>
              <w:right w:w="57" w:type="dxa"/>
            </w:tcMar>
          </w:tcPr>
          <w:p w14:paraId="124CE00A"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3.3.2 (pp17-18)</w:t>
            </w:r>
          </w:p>
        </w:tc>
        <w:tc>
          <w:tcPr>
            <w:tcW w:w="10079" w:type="dxa"/>
            <w:tcMar>
              <w:top w:w="11" w:type="dxa"/>
              <w:left w:w="57" w:type="dxa"/>
              <w:bottom w:w="11" w:type="dxa"/>
              <w:right w:w="57" w:type="dxa"/>
            </w:tcMar>
          </w:tcPr>
          <w:p w14:paraId="2A3B91D6"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 xml:space="preserve">Lack of measure of internal validity in equivalence or NI trials, so external validation is required </w:t>
            </w:r>
          </w:p>
          <w:p w14:paraId="4A568D0B"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NI trials are non-conservative: trial flaws tend to bias conclusion towards equivalence or NI</w:t>
            </w:r>
          </w:p>
          <w:p w14:paraId="756DB1B7"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Need clinical justification of equivalence margins</w:t>
            </w:r>
          </w:p>
          <w:p w14:paraId="0C47A7B4"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 xml:space="preserve">One-sided statistical tests suitable for NI </w:t>
            </w:r>
          </w:p>
        </w:tc>
      </w:tr>
      <w:tr w:rsidR="0032609E" w:rsidRPr="0013064C" w14:paraId="7848B45B" w14:textId="77777777" w:rsidTr="00092E34">
        <w:tc>
          <w:tcPr>
            <w:tcW w:w="1270" w:type="dxa"/>
            <w:tcMar>
              <w:top w:w="11" w:type="dxa"/>
              <w:left w:w="57" w:type="dxa"/>
              <w:bottom w:w="11" w:type="dxa"/>
              <w:right w:w="57" w:type="dxa"/>
            </w:tcMar>
          </w:tcPr>
          <w:p w14:paraId="447AB737"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3.5 (p20)</w:t>
            </w:r>
          </w:p>
        </w:tc>
        <w:tc>
          <w:tcPr>
            <w:tcW w:w="10079" w:type="dxa"/>
            <w:tcMar>
              <w:top w:w="11" w:type="dxa"/>
              <w:left w:w="57" w:type="dxa"/>
              <w:bottom w:w="11" w:type="dxa"/>
              <w:right w:w="57" w:type="dxa"/>
            </w:tcMar>
          </w:tcPr>
          <w:p w14:paraId="32D38958"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Base sample size for equivalence or NI trials on showing that treatments differ at most by a ‘clinically acceptable’ difference (generally smaller than a 'clinically relevant' difference used to show superiority)</w:t>
            </w:r>
          </w:p>
        </w:tc>
      </w:tr>
      <w:tr w:rsidR="0032609E" w:rsidRPr="0013064C" w14:paraId="7E9F7CDE" w14:textId="77777777" w:rsidTr="00092E34">
        <w:tc>
          <w:tcPr>
            <w:tcW w:w="1270" w:type="dxa"/>
            <w:tcMar>
              <w:top w:w="11" w:type="dxa"/>
              <w:left w:w="57" w:type="dxa"/>
              <w:bottom w:w="11" w:type="dxa"/>
              <w:right w:w="57" w:type="dxa"/>
            </w:tcMar>
          </w:tcPr>
          <w:p w14:paraId="2D9045F0"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5.2.3 (p26)</w:t>
            </w:r>
          </w:p>
        </w:tc>
        <w:tc>
          <w:tcPr>
            <w:tcW w:w="10079" w:type="dxa"/>
            <w:tcMar>
              <w:top w:w="11" w:type="dxa"/>
              <w:left w:w="57" w:type="dxa"/>
              <w:bottom w:w="11" w:type="dxa"/>
              <w:right w:w="57" w:type="dxa"/>
            </w:tcMar>
          </w:tcPr>
          <w:p w14:paraId="12D7DF55"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 xml:space="preserve">In equivalence or NI trials use of ‘full analysis </w:t>
            </w:r>
            <w:proofErr w:type="gramStart"/>
            <w:r w:rsidRPr="0013064C">
              <w:rPr>
                <w:rFonts w:cs="Arial"/>
                <w:sz w:val="24"/>
                <w:szCs w:val="24"/>
              </w:rPr>
              <w:t>set‘ (</w:t>
            </w:r>
            <w:proofErr w:type="gramEnd"/>
            <w:r w:rsidRPr="0013064C">
              <w:rPr>
                <w:rFonts w:cs="Arial"/>
                <w:sz w:val="24"/>
                <w:szCs w:val="24"/>
              </w:rPr>
              <w:t>ITT) may not be conservative, needs careful consideration</w:t>
            </w:r>
          </w:p>
        </w:tc>
      </w:tr>
    </w:tbl>
    <w:p w14:paraId="6BB689F9" w14:textId="7BD9399E" w:rsidR="008C03EF" w:rsidRPr="0013064C" w:rsidRDefault="008C03EF"/>
    <w:p w14:paraId="0548F679" w14:textId="77777777" w:rsidR="00B13B73" w:rsidRPr="0013064C" w:rsidRDefault="00B267CB" w:rsidP="00B13B73">
      <w:pPr>
        <w:spacing w:after="120"/>
        <w:rPr>
          <w:rFonts w:ascii="Arial" w:hAnsi="Arial" w:cs="Arial"/>
          <w:b/>
          <w:bCs/>
        </w:rPr>
      </w:pPr>
      <w:r w:rsidRPr="0013064C">
        <w:rPr>
          <w:rFonts w:ascii="Arial" w:hAnsi="Arial" w:cs="Arial"/>
          <w:b/>
          <w:bCs/>
        </w:rPr>
        <w:t>Agency: ICH E9 (R1) (Nov 2019)</w:t>
      </w:r>
      <w:r w:rsidRPr="0013064C">
        <w:rPr>
          <w:rFonts w:ascii="Arial" w:hAnsi="Arial" w:cs="Arial"/>
          <w:b/>
          <w:bCs/>
        </w:rPr>
        <w:tab/>
      </w:r>
    </w:p>
    <w:p w14:paraId="578459E8" w14:textId="3FBB08AF" w:rsidR="00B267CB" w:rsidRPr="0013064C" w:rsidRDefault="00B267CB" w:rsidP="00B13B73">
      <w:pPr>
        <w:spacing w:after="120"/>
        <w:rPr>
          <w:rFonts w:ascii="Arial" w:hAnsi="Arial" w:cs="Arial"/>
          <w:b/>
          <w:bCs/>
        </w:rPr>
      </w:pPr>
      <w:r w:rsidRPr="0013064C">
        <w:rPr>
          <w:rFonts w:ascii="Arial" w:hAnsi="Arial" w:cs="Arial"/>
          <w:b/>
          <w:bCs/>
        </w:rPr>
        <w:t xml:space="preserve">Document: Addendum on </w:t>
      </w:r>
      <w:proofErr w:type="spellStart"/>
      <w:r w:rsidRPr="0013064C">
        <w:rPr>
          <w:rFonts w:ascii="Arial" w:hAnsi="Arial" w:cs="Arial"/>
          <w:b/>
          <w:bCs/>
        </w:rPr>
        <w:t>estimands</w:t>
      </w:r>
      <w:proofErr w:type="spellEnd"/>
      <w:r w:rsidRPr="0013064C">
        <w:rPr>
          <w:rFonts w:ascii="Arial" w:hAnsi="Arial" w:cs="Arial"/>
          <w:b/>
          <w:bCs/>
        </w:rPr>
        <w:t xml:space="preserve"> and sensitivity analysis in clinical trials</w:t>
      </w:r>
    </w:p>
    <w:tbl>
      <w:tblPr>
        <w:tblStyle w:val="TableGrid"/>
        <w:tblW w:w="11349" w:type="dxa"/>
        <w:tblLook w:val="04A0" w:firstRow="1" w:lastRow="0" w:firstColumn="1" w:lastColumn="0" w:noHBand="0" w:noVBand="1"/>
      </w:tblPr>
      <w:tblGrid>
        <w:gridCol w:w="1270"/>
        <w:gridCol w:w="10079"/>
      </w:tblGrid>
      <w:tr w:rsidR="0032609E" w:rsidRPr="0013064C" w14:paraId="0592C254" w14:textId="77777777" w:rsidTr="00092E34">
        <w:tc>
          <w:tcPr>
            <w:tcW w:w="1270" w:type="dxa"/>
            <w:tcMar>
              <w:top w:w="11" w:type="dxa"/>
              <w:left w:w="57" w:type="dxa"/>
              <w:bottom w:w="11" w:type="dxa"/>
              <w:right w:w="57" w:type="dxa"/>
            </w:tcMar>
          </w:tcPr>
          <w:p w14:paraId="01772358" w14:textId="7E4F1065"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5293A7A2" w14:textId="3A34DE10"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Guidance</w:t>
            </w:r>
          </w:p>
        </w:tc>
      </w:tr>
      <w:tr w:rsidR="0032609E" w:rsidRPr="0013064C" w14:paraId="374AD083" w14:textId="77777777" w:rsidTr="00092E34">
        <w:tc>
          <w:tcPr>
            <w:tcW w:w="1270" w:type="dxa"/>
            <w:tcMar>
              <w:top w:w="11" w:type="dxa"/>
              <w:left w:w="57" w:type="dxa"/>
              <w:bottom w:w="11" w:type="dxa"/>
              <w:right w:w="57" w:type="dxa"/>
            </w:tcMar>
          </w:tcPr>
          <w:p w14:paraId="00DC5AC0"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A3.4 (pp12-13)</w:t>
            </w:r>
          </w:p>
        </w:tc>
        <w:tc>
          <w:tcPr>
            <w:tcW w:w="10079" w:type="dxa"/>
            <w:tcMar>
              <w:top w:w="11" w:type="dxa"/>
              <w:left w:w="57" w:type="dxa"/>
              <w:bottom w:w="11" w:type="dxa"/>
              <w:right w:w="57" w:type="dxa"/>
            </w:tcMar>
          </w:tcPr>
          <w:p w14:paraId="20921593" w14:textId="77777777" w:rsidR="0032609E" w:rsidRPr="0013064C" w:rsidRDefault="0032609E" w:rsidP="0032609E">
            <w:pPr>
              <w:pStyle w:val="ListParagraph"/>
              <w:numPr>
                <w:ilvl w:val="0"/>
                <w:numId w:val="7"/>
              </w:numPr>
              <w:spacing w:before="40" w:after="20" w:line="240" w:lineRule="auto"/>
              <w:ind w:left="374" w:hanging="283"/>
              <w:jc w:val="left"/>
              <w:rPr>
                <w:rFonts w:cs="Arial"/>
                <w:color w:val="000000"/>
                <w:sz w:val="24"/>
                <w:szCs w:val="24"/>
              </w:rPr>
            </w:pPr>
            <w:r w:rsidRPr="0013064C">
              <w:rPr>
                <w:rFonts w:cs="Arial"/>
                <w:sz w:val="24"/>
                <w:szCs w:val="24"/>
              </w:rPr>
              <w:t xml:space="preserve">The considerations informing the construction of </w:t>
            </w:r>
            <w:proofErr w:type="spellStart"/>
            <w:r w:rsidRPr="0013064C">
              <w:rPr>
                <w:rFonts w:cs="Arial"/>
                <w:sz w:val="24"/>
                <w:szCs w:val="24"/>
              </w:rPr>
              <w:t>estimand</w:t>
            </w:r>
            <w:proofErr w:type="spellEnd"/>
            <w:r w:rsidRPr="0013064C">
              <w:rPr>
                <w:rFonts w:cs="Arial"/>
                <w:sz w:val="24"/>
                <w:szCs w:val="24"/>
              </w:rPr>
              <w:t xml:space="preserve"> to support regulatory decision making based on a non-inferiority or equivalence objective may differ to those for the choice of </w:t>
            </w:r>
            <w:proofErr w:type="spellStart"/>
            <w:r w:rsidRPr="0013064C">
              <w:rPr>
                <w:rFonts w:cs="Arial"/>
                <w:sz w:val="24"/>
                <w:szCs w:val="24"/>
              </w:rPr>
              <w:t>estimand</w:t>
            </w:r>
            <w:proofErr w:type="spellEnd"/>
            <w:r w:rsidRPr="0013064C">
              <w:rPr>
                <w:rFonts w:cs="Arial"/>
                <w:sz w:val="24"/>
                <w:szCs w:val="24"/>
              </w:rPr>
              <w:t xml:space="preserve"> for a superiority objective.</w:t>
            </w:r>
            <w:r w:rsidRPr="0013064C">
              <w:rPr>
                <w:rFonts w:cs="Arial"/>
                <w:color w:val="000000"/>
                <w:sz w:val="24"/>
                <w:szCs w:val="24"/>
              </w:rPr>
              <w:t xml:space="preserve"> </w:t>
            </w:r>
          </w:p>
          <w:p w14:paraId="1F52671F"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color w:val="000000"/>
                <w:sz w:val="24"/>
                <w:szCs w:val="24"/>
              </w:rPr>
              <w:t xml:space="preserve">NI or equivalence </w:t>
            </w:r>
            <w:r w:rsidRPr="0013064C">
              <w:rPr>
                <w:rFonts w:cs="Arial"/>
                <w:sz w:val="24"/>
                <w:szCs w:val="24"/>
              </w:rPr>
              <w:t>trials are not conservative in nature: it is important to minimise the protocol violations and deviations, non-adherence and study withdrawals, and the result of the Full Analysis Set should be considered very seriously</w:t>
            </w:r>
          </w:p>
        </w:tc>
      </w:tr>
    </w:tbl>
    <w:p w14:paraId="54D7FA4F" w14:textId="7428022B" w:rsidR="008C03EF" w:rsidRPr="0013064C" w:rsidRDefault="008C03EF"/>
    <w:p w14:paraId="5AC40066" w14:textId="77777777" w:rsidR="0013064C" w:rsidRDefault="0013064C" w:rsidP="00B13B73">
      <w:pPr>
        <w:spacing w:after="120"/>
        <w:rPr>
          <w:rFonts w:ascii="Arial" w:hAnsi="Arial" w:cs="Arial"/>
          <w:b/>
          <w:bCs/>
        </w:rPr>
      </w:pPr>
    </w:p>
    <w:p w14:paraId="1A76EFEF" w14:textId="77777777" w:rsidR="0013064C" w:rsidRDefault="0013064C" w:rsidP="00B13B73">
      <w:pPr>
        <w:spacing w:after="120"/>
        <w:rPr>
          <w:rFonts w:ascii="Arial" w:hAnsi="Arial" w:cs="Arial"/>
          <w:b/>
          <w:bCs/>
        </w:rPr>
      </w:pPr>
    </w:p>
    <w:p w14:paraId="71DCD3EC" w14:textId="2C502A63" w:rsidR="00B13B73" w:rsidRPr="0013064C" w:rsidRDefault="00B267CB" w:rsidP="00B13B73">
      <w:pPr>
        <w:spacing w:after="120"/>
        <w:rPr>
          <w:rFonts w:ascii="Arial" w:hAnsi="Arial" w:cs="Arial"/>
          <w:b/>
          <w:bCs/>
        </w:rPr>
      </w:pPr>
      <w:r w:rsidRPr="0013064C">
        <w:rPr>
          <w:rFonts w:ascii="Arial" w:hAnsi="Arial" w:cs="Arial"/>
          <w:b/>
          <w:bCs/>
        </w:rPr>
        <w:lastRenderedPageBreak/>
        <w:t>Agency: EMEA ICH E10 (Jan 2001)</w:t>
      </w:r>
      <w:r w:rsidRPr="0013064C">
        <w:rPr>
          <w:rFonts w:ascii="Arial" w:hAnsi="Arial" w:cs="Arial"/>
          <w:b/>
          <w:bCs/>
        </w:rPr>
        <w:tab/>
      </w:r>
    </w:p>
    <w:p w14:paraId="3DE8108D" w14:textId="6651F97B" w:rsidR="00B267CB" w:rsidRPr="0013064C" w:rsidRDefault="00B267CB" w:rsidP="00B13B73">
      <w:pPr>
        <w:spacing w:after="120"/>
        <w:rPr>
          <w:rFonts w:ascii="Arial" w:hAnsi="Arial" w:cs="Arial"/>
          <w:b/>
          <w:bCs/>
        </w:rPr>
      </w:pPr>
      <w:r w:rsidRPr="0013064C">
        <w:rPr>
          <w:rFonts w:ascii="Arial" w:hAnsi="Arial" w:cs="Arial"/>
          <w:b/>
          <w:bCs/>
        </w:rPr>
        <w:t>Document: Choice of control group in clinical trials</w:t>
      </w:r>
    </w:p>
    <w:tbl>
      <w:tblPr>
        <w:tblStyle w:val="TableGrid"/>
        <w:tblW w:w="11349" w:type="dxa"/>
        <w:tblLook w:val="04A0" w:firstRow="1" w:lastRow="0" w:firstColumn="1" w:lastColumn="0" w:noHBand="0" w:noVBand="1"/>
      </w:tblPr>
      <w:tblGrid>
        <w:gridCol w:w="1270"/>
        <w:gridCol w:w="10079"/>
      </w:tblGrid>
      <w:tr w:rsidR="0032609E" w:rsidRPr="0013064C" w14:paraId="53589005" w14:textId="77777777" w:rsidTr="00092E34">
        <w:tc>
          <w:tcPr>
            <w:tcW w:w="1270" w:type="dxa"/>
            <w:tcMar>
              <w:top w:w="11" w:type="dxa"/>
              <w:left w:w="57" w:type="dxa"/>
              <w:bottom w:w="11" w:type="dxa"/>
              <w:right w:w="57" w:type="dxa"/>
            </w:tcMar>
          </w:tcPr>
          <w:p w14:paraId="1BE29DFC" w14:textId="46FB2E63"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5FD39719" w14:textId="2D2F6894"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Guidance</w:t>
            </w:r>
          </w:p>
        </w:tc>
      </w:tr>
      <w:tr w:rsidR="0032609E" w:rsidRPr="0013064C" w14:paraId="36F4230B" w14:textId="77777777" w:rsidTr="00092E34">
        <w:tc>
          <w:tcPr>
            <w:tcW w:w="1270" w:type="dxa"/>
            <w:tcMar>
              <w:top w:w="11" w:type="dxa"/>
              <w:left w:w="57" w:type="dxa"/>
              <w:bottom w:w="11" w:type="dxa"/>
              <w:right w:w="57" w:type="dxa"/>
            </w:tcMar>
          </w:tcPr>
          <w:p w14:paraId="1B02DB77"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1.4.1 (p9)</w:t>
            </w:r>
          </w:p>
        </w:tc>
        <w:tc>
          <w:tcPr>
            <w:tcW w:w="10079" w:type="dxa"/>
            <w:tcMar>
              <w:top w:w="11" w:type="dxa"/>
              <w:left w:w="57" w:type="dxa"/>
              <w:bottom w:w="11" w:type="dxa"/>
              <w:right w:w="57" w:type="dxa"/>
            </w:tcMar>
          </w:tcPr>
          <w:p w14:paraId="57AA2FAF"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‘Equivalence’ trials designed to show similar efficacy to a standard agent are often actually NI trials, aiming to show new drug is not less effective than a control by more than a defined amount (the margin)</w:t>
            </w:r>
          </w:p>
        </w:tc>
      </w:tr>
      <w:tr w:rsidR="0032609E" w:rsidRPr="0013064C" w14:paraId="55AB9A59" w14:textId="77777777" w:rsidTr="00092E34">
        <w:tc>
          <w:tcPr>
            <w:tcW w:w="1270" w:type="dxa"/>
            <w:tcMar>
              <w:top w:w="11" w:type="dxa"/>
              <w:left w:w="57" w:type="dxa"/>
              <w:bottom w:w="11" w:type="dxa"/>
              <w:right w:w="57" w:type="dxa"/>
            </w:tcMar>
          </w:tcPr>
          <w:p w14:paraId="33E8B28C"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1.4.3 (p10)</w:t>
            </w:r>
          </w:p>
        </w:tc>
        <w:tc>
          <w:tcPr>
            <w:tcW w:w="10079" w:type="dxa"/>
            <w:tcMar>
              <w:top w:w="11" w:type="dxa"/>
              <w:left w:w="57" w:type="dxa"/>
              <w:bottom w:w="11" w:type="dxa"/>
              <w:right w:w="57" w:type="dxa"/>
            </w:tcMar>
          </w:tcPr>
          <w:p w14:paraId="011675A3"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In equivalence or NI trials a fair effectiveness comparison with control is needed: design aspects that could unfairly favour one treatment are choice of dose or patient population and selection and timing of endpoints</w:t>
            </w:r>
          </w:p>
        </w:tc>
      </w:tr>
      <w:tr w:rsidR="0032609E" w:rsidRPr="0013064C" w14:paraId="50C2F40F" w14:textId="77777777" w:rsidTr="00092E34">
        <w:tc>
          <w:tcPr>
            <w:tcW w:w="1270" w:type="dxa"/>
            <w:tcMar>
              <w:top w:w="11" w:type="dxa"/>
              <w:left w:w="57" w:type="dxa"/>
              <w:bottom w:w="11" w:type="dxa"/>
              <w:right w:w="57" w:type="dxa"/>
            </w:tcMar>
          </w:tcPr>
          <w:p w14:paraId="683DC466"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1.5.1 (p11)</w:t>
            </w:r>
          </w:p>
        </w:tc>
        <w:tc>
          <w:tcPr>
            <w:tcW w:w="10079" w:type="dxa"/>
            <w:tcMar>
              <w:top w:w="11" w:type="dxa"/>
              <w:left w:w="57" w:type="dxa"/>
              <w:bottom w:w="11" w:type="dxa"/>
              <w:right w:w="57" w:type="dxa"/>
            </w:tcMar>
          </w:tcPr>
          <w:p w14:paraId="24A45E50"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Assay sensitivity in NI or equivalence trials is determined from historical evidence of sensitivity to drug effects, and evidence of appropriate trial conduct (and study conduct was similar to previous trials)</w:t>
            </w:r>
          </w:p>
        </w:tc>
      </w:tr>
      <w:tr w:rsidR="0032609E" w:rsidRPr="0013064C" w14:paraId="38CBE415" w14:textId="77777777" w:rsidTr="00092E34">
        <w:tc>
          <w:tcPr>
            <w:tcW w:w="1270" w:type="dxa"/>
            <w:tcMar>
              <w:top w:w="11" w:type="dxa"/>
              <w:left w:w="57" w:type="dxa"/>
              <w:bottom w:w="11" w:type="dxa"/>
              <w:right w:w="57" w:type="dxa"/>
            </w:tcMar>
          </w:tcPr>
          <w:p w14:paraId="00C8AC31"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1.5.1.1 (pp12-13)</w:t>
            </w:r>
          </w:p>
        </w:tc>
        <w:tc>
          <w:tcPr>
            <w:tcW w:w="10079" w:type="dxa"/>
            <w:tcMar>
              <w:top w:w="11" w:type="dxa"/>
              <w:left w:w="57" w:type="dxa"/>
              <w:bottom w:w="11" w:type="dxa"/>
              <w:right w:w="57" w:type="dxa"/>
            </w:tcMar>
          </w:tcPr>
          <w:p w14:paraId="2D8272BF"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Determining the margin in an NI trial based on statistical reasoning and clinical judgment. It should reflect uncertainties in the evidence and be suitably conservative</w:t>
            </w:r>
          </w:p>
          <w:p w14:paraId="0078E3E8" w14:textId="77777777" w:rsidR="0032609E" w:rsidRPr="0013064C" w:rsidRDefault="0032609E" w:rsidP="0032609E">
            <w:pPr>
              <w:pStyle w:val="ListParagraph"/>
              <w:numPr>
                <w:ilvl w:val="0"/>
                <w:numId w:val="5"/>
              </w:numPr>
              <w:spacing w:before="40" w:after="20" w:line="240" w:lineRule="auto"/>
              <w:ind w:left="374" w:hanging="283"/>
              <w:jc w:val="left"/>
              <w:rPr>
                <w:rFonts w:cs="Arial"/>
                <w:sz w:val="24"/>
                <w:szCs w:val="24"/>
              </w:rPr>
            </w:pPr>
            <w:r w:rsidRPr="0013064C">
              <w:rPr>
                <w:rFonts w:cs="Arial"/>
                <w:sz w:val="24"/>
                <w:szCs w:val="24"/>
              </w:rPr>
              <w:t>In practice, the NI margin chosen will usually be smaller than the smallest expected effect size of the active control, to ensure that some clinically acceptable effect size (fraction of control drug effect) is maintained</w:t>
            </w:r>
          </w:p>
        </w:tc>
      </w:tr>
      <w:tr w:rsidR="0032609E" w:rsidRPr="0013064C" w14:paraId="2221A494" w14:textId="77777777" w:rsidTr="00092E34">
        <w:tc>
          <w:tcPr>
            <w:tcW w:w="1270" w:type="dxa"/>
            <w:tcMar>
              <w:top w:w="11" w:type="dxa"/>
              <w:left w:w="57" w:type="dxa"/>
              <w:bottom w:w="11" w:type="dxa"/>
              <w:right w:w="57" w:type="dxa"/>
            </w:tcMar>
          </w:tcPr>
          <w:p w14:paraId="12550CA6"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1.5.1.2 (pp14-15)</w:t>
            </w:r>
          </w:p>
        </w:tc>
        <w:tc>
          <w:tcPr>
            <w:tcW w:w="10079" w:type="dxa"/>
            <w:tcMar>
              <w:top w:w="11" w:type="dxa"/>
              <w:left w:w="57" w:type="dxa"/>
              <w:bottom w:w="11" w:type="dxa"/>
              <w:right w:w="57" w:type="dxa"/>
            </w:tcMar>
          </w:tcPr>
          <w:p w14:paraId="63D2F0B7" w14:textId="77777777" w:rsidR="0032609E" w:rsidRPr="0013064C" w:rsidRDefault="0032609E" w:rsidP="0032609E">
            <w:pPr>
              <w:pStyle w:val="ListParagraph"/>
              <w:numPr>
                <w:ilvl w:val="0"/>
                <w:numId w:val="6"/>
              </w:numPr>
              <w:spacing w:before="40" w:after="20" w:line="240" w:lineRule="auto"/>
              <w:ind w:left="374" w:hanging="283"/>
              <w:jc w:val="left"/>
              <w:rPr>
                <w:rFonts w:cs="Arial"/>
                <w:sz w:val="24"/>
                <w:szCs w:val="24"/>
              </w:rPr>
            </w:pPr>
            <w:r w:rsidRPr="0013064C">
              <w:rPr>
                <w:rFonts w:cs="Arial"/>
                <w:sz w:val="24"/>
                <w:szCs w:val="24"/>
              </w:rPr>
              <w:t>In NI trials there may be a weaker stimulus to ensure study quality, which will help ensure that differences will be detected (demonstrate assay sensitivity)</w:t>
            </w:r>
          </w:p>
          <w:p w14:paraId="2E698BB7" w14:textId="77777777" w:rsidR="0032609E" w:rsidRPr="0013064C" w:rsidRDefault="0032609E" w:rsidP="0032609E">
            <w:pPr>
              <w:pStyle w:val="ListParagraph"/>
              <w:numPr>
                <w:ilvl w:val="0"/>
                <w:numId w:val="6"/>
              </w:numPr>
              <w:spacing w:before="40" w:after="20" w:line="240" w:lineRule="auto"/>
              <w:ind w:left="374" w:hanging="283"/>
              <w:jc w:val="left"/>
              <w:rPr>
                <w:rFonts w:cs="Arial"/>
                <w:sz w:val="24"/>
                <w:szCs w:val="24"/>
              </w:rPr>
            </w:pPr>
            <w:r w:rsidRPr="0013064C">
              <w:rPr>
                <w:rFonts w:cs="Arial"/>
                <w:sz w:val="24"/>
                <w:szCs w:val="24"/>
              </w:rPr>
              <w:t>Trial conduct should be reviewed for factors that might (a) obscure differences between treatments and (b) make the trial different from those on which NI margin was based</w:t>
            </w:r>
          </w:p>
        </w:tc>
      </w:tr>
      <w:tr w:rsidR="0032609E" w:rsidRPr="0013064C" w14:paraId="1CB3A3CE" w14:textId="77777777" w:rsidTr="00092E34">
        <w:tc>
          <w:tcPr>
            <w:tcW w:w="1270" w:type="dxa"/>
            <w:tcMar>
              <w:top w:w="11" w:type="dxa"/>
              <w:left w:w="57" w:type="dxa"/>
              <w:bottom w:w="11" w:type="dxa"/>
              <w:right w:w="57" w:type="dxa"/>
            </w:tcMar>
          </w:tcPr>
          <w:p w14:paraId="3C4F3D98"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2.4.7.2 (p25)</w:t>
            </w:r>
          </w:p>
        </w:tc>
        <w:tc>
          <w:tcPr>
            <w:tcW w:w="10079" w:type="dxa"/>
            <w:tcMar>
              <w:top w:w="11" w:type="dxa"/>
              <w:left w:w="57" w:type="dxa"/>
              <w:bottom w:w="11" w:type="dxa"/>
              <w:right w:w="57" w:type="dxa"/>
            </w:tcMar>
          </w:tcPr>
          <w:p w14:paraId="46FAC064" w14:textId="77777777" w:rsidR="0032609E" w:rsidRPr="0013064C" w:rsidRDefault="0032609E" w:rsidP="0032609E">
            <w:pPr>
              <w:pStyle w:val="ListParagraph"/>
              <w:numPr>
                <w:ilvl w:val="0"/>
                <w:numId w:val="6"/>
              </w:numPr>
              <w:spacing w:before="40" w:after="20" w:line="240" w:lineRule="auto"/>
              <w:ind w:left="374" w:hanging="283"/>
              <w:jc w:val="left"/>
              <w:rPr>
                <w:rFonts w:cs="Arial"/>
                <w:sz w:val="24"/>
                <w:szCs w:val="24"/>
              </w:rPr>
            </w:pPr>
            <w:r w:rsidRPr="0013064C">
              <w:rPr>
                <w:rFonts w:cs="Arial"/>
                <w:sz w:val="24"/>
                <w:szCs w:val="24"/>
              </w:rPr>
              <w:t>Because the choice of the margin in NI trials generally needs to be conservative, sample sizes may be large</w:t>
            </w:r>
          </w:p>
        </w:tc>
      </w:tr>
      <w:tr w:rsidR="0032609E" w:rsidRPr="0013064C" w14:paraId="75A7B3EF" w14:textId="77777777" w:rsidTr="00092E34">
        <w:trPr>
          <w:trHeight w:val="1397"/>
        </w:trPr>
        <w:tc>
          <w:tcPr>
            <w:tcW w:w="1270" w:type="dxa"/>
            <w:tcMar>
              <w:top w:w="11" w:type="dxa"/>
              <w:left w:w="57" w:type="dxa"/>
              <w:bottom w:w="11" w:type="dxa"/>
              <w:right w:w="57" w:type="dxa"/>
            </w:tcMar>
          </w:tcPr>
          <w:p w14:paraId="54B2C758"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2.5 (pp25-28)</w:t>
            </w:r>
          </w:p>
        </w:tc>
        <w:tc>
          <w:tcPr>
            <w:tcW w:w="10079" w:type="dxa"/>
            <w:tcMar>
              <w:top w:w="11" w:type="dxa"/>
              <w:left w:w="57" w:type="dxa"/>
              <w:bottom w:w="11" w:type="dxa"/>
              <w:right w:w="57" w:type="dxa"/>
            </w:tcMar>
          </w:tcPr>
          <w:p w14:paraId="699651F5" w14:textId="77777777" w:rsidR="0032609E" w:rsidRPr="0013064C" w:rsidRDefault="0032609E" w:rsidP="0032609E">
            <w:pPr>
              <w:pStyle w:val="ListParagraph"/>
              <w:numPr>
                <w:ilvl w:val="0"/>
                <w:numId w:val="6"/>
              </w:numPr>
              <w:spacing w:before="40" w:after="20" w:line="240" w:lineRule="auto"/>
              <w:ind w:left="374" w:hanging="283"/>
              <w:jc w:val="left"/>
              <w:rPr>
                <w:rFonts w:cs="Arial"/>
                <w:sz w:val="24"/>
                <w:szCs w:val="24"/>
              </w:rPr>
            </w:pPr>
            <w:r w:rsidRPr="0013064C">
              <w:rPr>
                <w:rFonts w:cs="Arial"/>
                <w:sz w:val="24"/>
                <w:szCs w:val="24"/>
              </w:rPr>
              <w:t>Inability to control bias is the major limitation of externally controlled trials, often sufficient to make the design unsuitable</w:t>
            </w:r>
          </w:p>
          <w:p w14:paraId="46D31FC9" w14:textId="77777777" w:rsidR="0032609E" w:rsidRPr="0013064C" w:rsidRDefault="0032609E" w:rsidP="0032609E">
            <w:pPr>
              <w:pStyle w:val="ListParagraph"/>
              <w:numPr>
                <w:ilvl w:val="0"/>
                <w:numId w:val="6"/>
              </w:numPr>
              <w:spacing w:before="40" w:after="20" w:line="240" w:lineRule="auto"/>
              <w:ind w:left="374" w:hanging="283"/>
              <w:jc w:val="left"/>
              <w:rPr>
                <w:rFonts w:cs="Arial"/>
                <w:sz w:val="24"/>
                <w:szCs w:val="24"/>
              </w:rPr>
            </w:pPr>
            <w:r w:rsidRPr="0013064C">
              <w:rPr>
                <w:rFonts w:cs="Arial"/>
                <w:sz w:val="24"/>
                <w:szCs w:val="24"/>
              </w:rPr>
              <w:t>Potential persuasiveness of findings from such trials depends on obtaining higher much levels of statistical significance and larger estimated differences</w:t>
            </w:r>
          </w:p>
          <w:p w14:paraId="2C773E8F" w14:textId="77777777" w:rsidR="0032609E" w:rsidRPr="0013064C" w:rsidRDefault="0032609E" w:rsidP="0032609E">
            <w:pPr>
              <w:pStyle w:val="ListParagraph"/>
              <w:numPr>
                <w:ilvl w:val="0"/>
                <w:numId w:val="6"/>
              </w:numPr>
              <w:spacing w:before="40" w:after="20" w:line="240" w:lineRule="auto"/>
              <w:ind w:left="374" w:hanging="283"/>
              <w:jc w:val="left"/>
              <w:rPr>
                <w:rFonts w:cs="Arial"/>
                <w:sz w:val="24"/>
                <w:szCs w:val="24"/>
              </w:rPr>
            </w:pPr>
            <w:r w:rsidRPr="0013064C">
              <w:rPr>
                <w:rFonts w:cs="Arial"/>
                <w:sz w:val="24"/>
                <w:szCs w:val="24"/>
              </w:rPr>
              <w:lastRenderedPageBreak/>
              <w:t>Matching on selection criteria or adjustments to account for population differences should be specified prior to selection of control and performance of the study</w:t>
            </w:r>
          </w:p>
        </w:tc>
      </w:tr>
    </w:tbl>
    <w:p w14:paraId="7CAA956B" w14:textId="6397CB9E" w:rsidR="008C03EF" w:rsidRPr="0013064C" w:rsidRDefault="008C03EF"/>
    <w:p w14:paraId="59825591" w14:textId="77777777" w:rsidR="00B267CB" w:rsidRPr="0013064C" w:rsidRDefault="00B267CB" w:rsidP="00B13B73">
      <w:pPr>
        <w:spacing w:after="120"/>
        <w:rPr>
          <w:rFonts w:ascii="Arial" w:hAnsi="Arial" w:cs="Arial"/>
          <w:b/>
          <w:bCs/>
        </w:rPr>
      </w:pPr>
      <w:r w:rsidRPr="0013064C">
        <w:rPr>
          <w:rFonts w:ascii="Arial" w:hAnsi="Arial" w:cs="Arial"/>
          <w:b/>
          <w:bCs/>
        </w:rPr>
        <w:t>Agency: EMEA (Jul 2000)</w:t>
      </w:r>
      <w:r w:rsidRPr="0013064C">
        <w:rPr>
          <w:rFonts w:ascii="Arial" w:hAnsi="Arial" w:cs="Arial"/>
          <w:b/>
          <w:bCs/>
        </w:rPr>
        <w:tab/>
      </w:r>
    </w:p>
    <w:p w14:paraId="516B5B5E" w14:textId="7AD50734" w:rsidR="00B267CB" w:rsidRPr="0013064C" w:rsidRDefault="00B267CB" w:rsidP="00B13B73">
      <w:pPr>
        <w:spacing w:after="120"/>
        <w:rPr>
          <w:rFonts w:ascii="Arial" w:hAnsi="Arial" w:cs="Arial"/>
          <w:b/>
          <w:bCs/>
        </w:rPr>
      </w:pPr>
      <w:r w:rsidRPr="0013064C">
        <w:rPr>
          <w:rFonts w:ascii="Arial" w:hAnsi="Arial" w:cs="Arial"/>
          <w:b/>
          <w:bCs/>
        </w:rPr>
        <w:t>Document: Points to consider on switching between superiority and non-inferiority</w:t>
      </w:r>
    </w:p>
    <w:tbl>
      <w:tblPr>
        <w:tblStyle w:val="TableGrid"/>
        <w:tblW w:w="11349" w:type="dxa"/>
        <w:tblLook w:val="04A0" w:firstRow="1" w:lastRow="0" w:firstColumn="1" w:lastColumn="0" w:noHBand="0" w:noVBand="1"/>
      </w:tblPr>
      <w:tblGrid>
        <w:gridCol w:w="1270"/>
        <w:gridCol w:w="10079"/>
      </w:tblGrid>
      <w:tr w:rsidR="0032609E" w:rsidRPr="0013064C" w14:paraId="4B9B3092" w14:textId="77777777" w:rsidTr="00092E34">
        <w:tc>
          <w:tcPr>
            <w:tcW w:w="1270" w:type="dxa"/>
            <w:tcMar>
              <w:top w:w="11" w:type="dxa"/>
              <w:left w:w="57" w:type="dxa"/>
              <w:bottom w:w="11" w:type="dxa"/>
              <w:right w:w="57" w:type="dxa"/>
            </w:tcMar>
          </w:tcPr>
          <w:p w14:paraId="4DEDB3D2" w14:textId="77CC2840"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3318705B" w14:textId="6E311F26"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Guidance</w:t>
            </w:r>
          </w:p>
        </w:tc>
      </w:tr>
      <w:tr w:rsidR="0032609E" w:rsidRPr="0013064C" w14:paraId="287B9D6A" w14:textId="77777777" w:rsidTr="00092E34">
        <w:tc>
          <w:tcPr>
            <w:tcW w:w="1270" w:type="dxa"/>
            <w:tcMar>
              <w:top w:w="11" w:type="dxa"/>
              <w:left w:w="57" w:type="dxa"/>
              <w:bottom w:w="11" w:type="dxa"/>
              <w:right w:w="57" w:type="dxa"/>
            </w:tcMar>
          </w:tcPr>
          <w:p w14:paraId="3FE3C233"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II.2-3 (pp3-4)</w:t>
            </w:r>
          </w:p>
        </w:tc>
        <w:tc>
          <w:tcPr>
            <w:tcW w:w="10079" w:type="dxa"/>
            <w:tcMar>
              <w:top w:w="11" w:type="dxa"/>
              <w:left w:w="57" w:type="dxa"/>
              <w:bottom w:w="11" w:type="dxa"/>
              <w:right w:w="57" w:type="dxa"/>
            </w:tcMar>
          </w:tcPr>
          <w:p w14:paraId="0A06230F" w14:textId="7464DB87" w:rsidR="0032609E" w:rsidRPr="0013064C" w:rsidRDefault="0032609E" w:rsidP="0032609E">
            <w:pPr>
              <w:pStyle w:val="ListParagraph"/>
              <w:numPr>
                <w:ilvl w:val="0"/>
                <w:numId w:val="6"/>
              </w:numPr>
              <w:spacing w:before="40" w:after="20" w:line="240" w:lineRule="auto"/>
              <w:ind w:left="374" w:hanging="283"/>
              <w:jc w:val="left"/>
              <w:rPr>
                <w:rFonts w:cs="Arial"/>
                <w:sz w:val="24"/>
                <w:szCs w:val="24"/>
              </w:rPr>
            </w:pPr>
            <w:r w:rsidRPr="0013064C">
              <w:rPr>
                <w:rFonts w:cs="Arial"/>
                <w:sz w:val="24"/>
                <w:szCs w:val="24"/>
              </w:rPr>
              <w:t>In an equivalence trial for the two treatments are to be declared equivalent, the two-sided 95% confidence interval (defining the range of plausible differences between the two treatments) should lie entirely within the interval -Δ to +Δ (margin). In an NI trial the two-sided 95% confidence interval should lie entirely to the right of the value -Δ.</w:t>
            </w:r>
          </w:p>
        </w:tc>
      </w:tr>
      <w:tr w:rsidR="0032609E" w:rsidRPr="0013064C" w14:paraId="738ED698" w14:textId="77777777" w:rsidTr="00092E34">
        <w:tc>
          <w:tcPr>
            <w:tcW w:w="1270" w:type="dxa"/>
            <w:tcMar>
              <w:top w:w="11" w:type="dxa"/>
              <w:left w:w="57" w:type="dxa"/>
              <w:bottom w:w="11" w:type="dxa"/>
              <w:right w:w="57" w:type="dxa"/>
            </w:tcMar>
          </w:tcPr>
          <w:p w14:paraId="40E7635E"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IV.1.4 (p6)</w:t>
            </w:r>
          </w:p>
        </w:tc>
        <w:tc>
          <w:tcPr>
            <w:tcW w:w="10079" w:type="dxa"/>
            <w:tcMar>
              <w:top w:w="11" w:type="dxa"/>
              <w:left w:w="57" w:type="dxa"/>
              <w:bottom w:w="11" w:type="dxa"/>
              <w:right w:w="57" w:type="dxa"/>
            </w:tcMar>
          </w:tcPr>
          <w:p w14:paraId="07DBE591" w14:textId="77777777" w:rsidR="0032609E" w:rsidRPr="0013064C" w:rsidRDefault="0032609E" w:rsidP="0032609E">
            <w:pPr>
              <w:pStyle w:val="ListParagraph"/>
              <w:numPr>
                <w:ilvl w:val="0"/>
                <w:numId w:val="6"/>
              </w:numPr>
              <w:spacing w:before="40" w:after="20" w:line="240" w:lineRule="auto"/>
              <w:ind w:left="374" w:hanging="283"/>
              <w:jc w:val="left"/>
              <w:rPr>
                <w:rFonts w:cs="Arial"/>
                <w:sz w:val="24"/>
                <w:szCs w:val="24"/>
              </w:rPr>
            </w:pPr>
            <w:r w:rsidRPr="0013064C">
              <w:rPr>
                <w:rFonts w:cs="Arial"/>
                <w:sz w:val="24"/>
                <w:szCs w:val="24"/>
              </w:rPr>
              <w:t>In an NI trial, the full analysis set and the PP analysis set have equal importance and their use should lead to similar conclusions for a robust interpretation</w:t>
            </w:r>
          </w:p>
          <w:p w14:paraId="1A02AC0B" w14:textId="77777777" w:rsidR="0032609E" w:rsidRPr="0013064C" w:rsidRDefault="0032609E" w:rsidP="0032609E">
            <w:pPr>
              <w:pStyle w:val="ListParagraph"/>
              <w:numPr>
                <w:ilvl w:val="0"/>
                <w:numId w:val="6"/>
              </w:numPr>
              <w:spacing w:before="40" w:after="20" w:line="240" w:lineRule="auto"/>
              <w:ind w:left="374" w:hanging="283"/>
              <w:jc w:val="left"/>
              <w:rPr>
                <w:rFonts w:cs="Arial"/>
                <w:sz w:val="24"/>
                <w:szCs w:val="24"/>
              </w:rPr>
            </w:pPr>
            <w:r w:rsidRPr="0013064C">
              <w:rPr>
                <w:rFonts w:cs="Arial"/>
                <w:sz w:val="24"/>
                <w:szCs w:val="24"/>
              </w:rPr>
              <w:t>Switching the objective of a trial from NI to superiority is feasible provided (a) the trial has been properly designed and carried out in accordance with the strict requirements of a non-inferiority trial; (b) Actual p-values for superiority are presented to allow independent assessment of the strength of the evidence; (c) Analysis according to the intention-to-treat principle is given greatest emphasis</w:t>
            </w:r>
          </w:p>
        </w:tc>
      </w:tr>
      <w:tr w:rsidR="0032609E" w:rsidRPr="0013064C" w14:paraId="12F02A9F" w14:textId="77777777" w:rsidTr="00092E34">
        <w:tc>
          <w:tcPr>
            <w:tcW w:w="1270" w:type="dxa"/>
            <w:tcMar>
              <w:top w:w="11" w:type="dxa"/>
              <w:left w:w="57" w:type="dxa"/>
              <w:bottom w:w="11" w:type="dxa"/>
              <w:right w:w="57" w:type="dxa"/>
            </w:tcMar>
          </w:tcPr>
          <w:p w14:paraId="7EF481DF"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IV.2.5 (p8-9)</w:t>
            </w:r>
          </w:p>
        </w:tc>
        <w:tc>
          <w:tcPr>
            <w:tcW w:w="10079" w:type="dxa"/>
            <w:tcMar>
              <w:top w:w="11" w:type="dxa"/>
              <w:left w:w="57" w:type="dxa"/>
              <w:bottom w:w="11" w:type="dxa"/>
              <w:right w:w="57" w:type="dxa"/>
            </w:tcMar>
          </w:tcPr>
          <w:p w14:paraId="05274DEA" w14:textId="77777777" w:rsidR="0032609E" w:rsidRPr="0013064C" w:rsidRDefault="0032609E" w:rsidP="0032609E">
            <w:pPr>
              <w:pStyle w:val="ListParagraph"/>
              <w:numPr>
                <w:ilvl w:val="0"/>
                <w:numId w:val="8"/>
              </w:numPr>
              <w:spacing w:before="40" w:after="20" w:line="240" w:lineRule="auto"/>
              <w:ind w:left="374" w:hanging="283"/>
              <w:jc w:val="left"/>
              <w:rPr>
                <w:rFonts w:cs="Arial"/>
                <w:sz w:val="24"/>
                <w:szCs w:val="24"/>
              </w:rPr>
            </w:pPr>
            <w:r w:rsidRPr="0013064C">
              <w:rPr>
                <w:rFonts w:cs="Arial"/>
                <w:sz w:val="24"/>
                <w:szCs w:val="24"/>
              </w:rPr>
              <w:t>In any superiority trial where NI may be an acceptable outcome (for licensing purposes), a non-inferiority margin should be specified in the protocol to avoid difficulties arising from later selection</w:t>
            </w:r>
          </w:p>
          <w:p w14:paraId="4FE4ADE6" w14:textId="77777777" w:rsidR="0032609E" w:rsidRPr="0013064C" w:rsidRDefault="0032609E" w:rsidP="0032609E">
            <w:pPr>
              <w:pStyle w:val="ListParagraph"/>
              <w:numPr>
                <w:ilvl w:val="0"/>
                <w:numId w:val="8"/>
              </w:numPr>
              <w:spacing w:before="40" w:after="20" w:line="240" w:lineRule="auto"/>
              <w:ind w:left="374" w:hanging="283"/>
              <w:jc w:val="left"/>
              <w:rPr>
                <w:rFonts w:cs="Arial"/>
                <w:sz w:val="24"/>
                <w:szCs w:val="24"/>
              </w:rPr>
            </w:pPr>
            <w:r w:rsidRPr="0013064C">
              <w:rPr>
                <w:rFonts w:cs="Arial"/>
                <w:sz w:val="24"/>
                <w:szCs w:val="24"/>
              </w:rPr>
              <w:t xml:space="preserve">Switching the objective of a trial from superiority to NI may be feasible provided (a) the NI margin was pre-defined or can be justified post-hoc (which is difficult); (b) analysis according to ITT and PP, showing confidence intervals and p-values for the null hypothesis of inferiority, gives similar findings; (c) trial was properly designed and carried out according to the strict requirements of a NI trial; (d) sensitivity of trial is high enough to </w:t>
            </w:r>
            <w:r w:rsidRPr="0013064C">
              <w:rPr>
                <w:rFonts w:cs="Arial"/>
                <w:sz w:val="24"/>
                <w:szCs w:val="24"/>
              </w:rPr>
              <w:lastRenderedPageBreak/>
              <w:t>ensure that it can detect relevant differences if they exist; (e) there is direct or indirect evidence that the control treatment is showing its usual level of efficacy</w:t>
            </w:r>
          </w:p>
        </w:tc>
      </w:tr>
      <w:tr w:rsidR="0032609E" w:rsidRPr="0013064C" w14:paraId="13AE293B" w14:textId="77777777" w:rsidTr="00092E34">
        <w:tc>
          <w:tcPr>
            <w:tcW w:w="1270" w:type="dxa"/>
            <w:tcMar>
              <w:top w:w="11" w:type="dxa"/>
              <w:left w:w="57" w:type="dxa"/>
              <w:bottom w:w="11" w:type="dxa"/>
              <w:right w:w="57" w:type="dxa"/>
            </w:tcMar>
          </w:tcPr>
          <w:p w14:paraId="0D20E82F"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lastRenderedPageBreak/>
              <w:t>VII (p10)</w:t>
            </w:r>
          </w:p>
        </w:tc>
        <w:tc>
          <w:tcPr>
            <w:tcW w:w="10079" w:type="dxa"/>
            <w:tcMar>
              <w:top w:w="11" w:type="dxa"/>
              <w:left w:w="57" w:type="dxa"/>
              <w:bottom w:w="11" w:type="dxa"/>
              <w:right w:w="57" w:type="dxa"/>
            </w:tcMar>
          </w:tcPr>
          <w:p w14:paraId="42781443" w14:textId="77777777" w:rsidR="0032609E" w:rsidRPr="0013064C" w:rsidRDefault="0032609E" w:rsidP="0032609E">
            <w:pPr>
              <w:pStyle w:val="ListParagraph"/>
              <w:numPr>
                <w:ilvl w:val="0"/>
                <w:numId w:val="9"/>
              </w:numPr>
              <w:spacing w:before="40" w:after="20" w:line="240" w:lineRule="auto"/>
              <w:ind w:left="374" w:hanging="283"/>
              <w:jc w:val="left"/>
              <w:rPr>
                <w:rFonts w:cs="Arial"/>
                <w:sz w:val="24"/>
                <w:szCs w:val="24"/>
              </w:rPr>
            </w:pPr>
            <w:r w:rsidRPr="0013064C">
              <w:rPr>
                <w:rFonts w:cs="Arial"/>
                <w:sz w:val="24"/>
                <w:szCs w:val="24"/>
              </w:rPr>
              <w:t>Switching to wider acceptable margins when examining study results is generally problematical, however data that satisfy narrower equivalence margins may be safely interpreted as such</w:t>
            </w:r>
          </w:p>
        </w:tc>
      </w:tr>
    </w:tbl>
    <w:p w14:paraId="37331937" w14:textId="47E67798" w:rsidR="008C03EF" w:rsidRPr="0013064C" w:rsidRDefault="008C03EF"/>
    <w:p w14:paraId="5611902E" w14:textId="77777777" w:rsidR="00B267CB" w:rsidRPr="0013064C" w:rsidRDefault="00B267CB" w:rsidP="00B13B73">
      <w:pPr>
        <w:spacing w:after="120"/>
        <w:rPr>
          <w:rFonts w:ascii="Arial" w:hAnsi="Arial" w:cs="Arial"/>
          <w:b/>
          <w:bCs/>
        </w:rPr>
      </w:pPr>
      <w:r w:rsidRPr="0013064C">
        <w:rPr>
          <w:rFonts w:ascii="Arial" w:hAnsi="Arial" w:cs="Arial"/>
          <w:b/>
          <w:bCs/>
        </w:rPr>
        <w:t>Agency: MHRA (Sep 2017)</w:t>
      </w:r>
      <w:r w:rsidRPr="0013064C">
        <w:rPr>
          <w:rFonts w:ascii="Arial" w:hAnsi="Arial" w:cs="Arial"/>
          <w:b/>
          <w:bCs/>
        </w:rPr>
        <w:tab/>
      </w:r>
    </w:p>
    <w:p w14:paraId="6F86EBA4" w14:textId="072FF689" w:rsidR="00B267CB" w:rsidRPr="0013064C" w:rsidRDefault="00B267CB" w:rsidP="00B13B73">
      <w:pPr>
        <w:spacing w:after="120"/>
        <w:rPr>
          <w:rFonts w:ascii="Arial" w:hAnsi="Arial" w:cs="Arial"/>
          <w:b/>
          <w:bCs/>
        </w:rPr>
      </w:pPr>
      <w:r w:rsidRPr="0013064C">
        <w:rPr>
          <w:rFonts w:ascii="Arial" w:hAnsi="Arial" w:cs="Arial"/>
          <w:b/>
          <w:bCs/>
        </w:rPr>
        <w:t>Document: Clinical invest-</w:t>
      </w:r>
      <w:proofErr w:type="spellStart"/>
      <w:r w:rsidRPr="0013064C">
        <w:rPr>
          <w:rFonts w:ascii="Arial" w:hAnsi="Arial" w:cs="Arial"/>
          <w:b/>
          <w:bCs/>
        </w:rPr>
        <w:t>igations</w:t>
      </w:r>
      <w:proofErr w:type="spellEnd"/>
      <w:r w:rsidRPr="0013064C">
        <w:rPr>
          <w:rFonts w:ascii="Arial" w:hAnsi="Arial" w:cs="Arial"/>
          <w:b/>
          <w:bCs/>
        </w:rPr>
        <w:t xml:space="preserve"> of medical devices - statistical considerations</w:t>
      </w:r>
    </w:p>
    <w:tbl>
      <w:tblPr>
        <w:tblStyle w:val="TableGrid"/>
        <w:tblW w:w="11349" w:type="dxa"/>
        <w:tblLook w:val="04A0" w:firstRow="1" w:lastRow="0" w:firstColumn="1" w:lastColumn="0" w:noHBand="0" w:noVBand="1"/>
      </w:tblPr>
      <w:tblGrid>
        <w:gridCol w:w="1270"/>
        <w:gridCol w:w="10079"/>
      </w:tblGrid>
      <w:tr w:rsidR="0032609E" w:rsidRPr="0013064C" w14:paraId="16E43C5A" w14:textId="77777777" w:rsidTr="00092E34">
        <w:tc>
          <w:tcPr>
            <w:tcW w:w="1270" w:type="dxa"/>
            <w:tcMar>
              <w:top w:w="11" w:type="dxa"/>
              <w:left w:w="57" w:type="dxa"/>
              <w:bottom w:w="11" w:type="dxa"/>
              <w:right w:w="57" w:type="dxa"/>
            </w:tcMar>
          </w:tcPr>
          <w:p w14:paraId="76762606" w14:textId="1F61C93C"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2D9DB98E" w14:textId="0571C470"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Guidance</w:t>
            </w:r>
          </w:p>
        </w:tc>
      </w:tr>
      <w:tr w:rsidR="0032609E" w:rsidRPr="0013064C" w14:paraId="457B202D" w14:textId="77777777" w:rsidTr="00092E34">
        <w:tc>
          <w:tcPr>
            <w:tcW w:w="1270" w:type="dxa"/>
            <w:tcMar>
              <w:top w:w="11" w:type="dxa"/>
              <w:left w:w="57" w:type="dxa"/>
              <w:bottom w:w="11" w:type="dxa"/>
              <w:right w:w="57" w:type="dxa"/>
            </w:tcMar>
          </w:tcPr>
          <w:p w14:paraId="6DF49847"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2.3 (p8)</w:t>
            </w:r>
          </w:p>
        </w:tc>
        <w:tc>
          <w:tcPr>
            <w:tcW w:w="10079" w:type="dxa"/>
            <w:tcMar>
              <w:top w:w="11" w:type="dxa"/>
              <w:left w:w="57" w:type="dxa"/>
              <w:bottom w:w="11" w:type="dxa"/>
              <w:right w:w="57" w:type="dxa"/>
            </w:tcMar>
          </w:tcPr>
          <w:p w14:paraId="5B82D6E6" w14:textId="77777777" w:rsidR="0032609E" w:rsidRPr="0013064C" w:rsidRDefault="0032609E" w:rsidP="0032609E">
            <w:pPr>
              <w:pStyle w:val="ListParagraph"/>
              <w:numPr>
                <w:ilvl w:val="0"/>
                <w:numId w:val="9"/>
              </w:numPr>
              <w:spacing w:before="40" w:after="20" w:line="240" w:lineRule="auto"/>
              <w:ind w:left="374" w:hanging="283"/>
              <w:jc w:val="left"/>
              <w:rPr>
                <w:rFonts w:cs="Arial"/>
                <w:sz w:val="24"/>
                <w:szCs w:val="24"/>
              </w:rPr>
            </w:pPr>
            <w:r w:rsidRPr="0013064C">
              <w:rPr>
                <w:rFonts w:cs="Arial"/>
                <w:sz w:val="24"/>
                <w:szCs w:val="24"/>
              </w:rPr>
              <w:t>Tests for non-inferiority, which are one-sided, would typically be performed at the 2.5% level</w:t>
            </w:r>
          </w:p>
        </w:tc>
      </w:tr>
    </w:tbl>
    <w:p w14:paraId="3E5B29D3" w14:textId="66BCBACB" w:rsidR="008C03EF" w:rsidRPr="0013064C" w:rsidRDefault="008C03EF"/>
    <w:p w14:paraId="41F8F731" w14:textId="77777777" w:rsidR="00B267CB" w:rsidRPr="0013064C" w:rsidRDefault="00B267CB" w:rsidP="00B13B73">
      <w:pPr>
        <w:spacing w:after="120"/>
        <w:rPr>
          <w:rFonts w:ascii="Arial" w:hAnsi="Arial" w:cs="Arial"/>
          <w:b/>
          <w:bCs/>
        </w:rPr>
      </w:pPr>
      <w:r w:rsidRPr="0013064C">
        <w:rPr>
          <w:rFonts w:ascii="Arial" w:hAnsi="Arial" w:cs="Arial"/>
          <w:b/>
          <w:bCs/>
        </w:rPr>
        <w:t>Agency: EU MDR (Apr 2017)</w:t>
      </w:r>
      <w:r w:rsidRPr="0013064C">
        <w:rPr>
          <w:rFonts w:ascii="Arial" w:hAnsi="Arial" w:cs="Arial"/>
          <w:b/>
          <w:bCs/>
        </w:rPr>
        <w:tab/>
      </w:r>
    </w:p>
    <w:p w14:paraId="7156D99B" w14:textId="29E49A1C" w:rsidR="00B267CB" w:rsidRPr="0013064C" w:rsidRDefault="00B267CB" w:rsidP="00B13B73">
      <w:pPr>
        <w:spacing w:after="120"/>
        <w:rPr>
          <w:rFonts w:ascii="Arial" w:hAnsi="Arial" w:cs="Arial"/>
          <w:b/>
          <w:bCs/>
        </w:rPr>
      </w:pPr>
      <w:r w:rsidRPr="0013064C">
        <w:rPr>
          <w:rFonts w:ascii="Arial" w:hAnsi="Arial" w:cs="Arial"/>
          <w:b/>
          <w:bCs/>
        </w:rPr>
        <w:t>Document: Medical device regulation 2017/745</w:t>
      </w:r>
    </w:p>
    <w:tbl>
      <w:tblPr>
        <w:tblStyle w:val="TableGrid"/>
        <w:tblW w:w="11349" w:type="dxa"/>
        <w:tblLook w:val="04A0" w:firstRow="1" w:lastRow="0" w:firstColumn="1" w:lastColumn="0" w:noHBand="0" w:noVBand="1"/>
      </w:tblPr>
      <w:tblGrid>
        <w:gridCol w:w="1270"/>
        <w:gridCol w:w="10079"/>
      </w:tblGrid>
      <w:tr w:rsidR="0032609E" w:rsidRPr="0013064C" w14:paraId="3E4B1079" w14:textId="77777777" w:rsidTr="00092E34">
        <w:tc>
          <w:tcPr>
            <w:tcW w:w="1270" w:type="dxa"/>
            <w:tcMar>
              <w:top w:w="11" w:type="dxa"/>
              <w:left w:w="57" w:type="dxa"/>
              <w:bottom w:w="11" w:type="dxa"/>
              <w:right w:w="57" w:type="dxa"/>
            </w:tcMar>
          </w:tcPr>
          <w:p w14:paraId="08420D2C" w14:textId="631D54E8"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68FFF446" w14:textId="774F32AD"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Guidance</w:t>
            </w:r>
          </w:p>
        </w:tc>
      </w:tr>
      <w:tr w:rsidR="0032609E" w:rsidRPr="0013064C" w14:paraId="71A84B3F" w14:textId="77777777" w:rsidTr="00092E34">
        <w:tc>
          <w:tcPr>
            <w:tcW w:w="1270" w:type="dxa"/>
            <w:tcMar>
              <w:top w:w="11" w:type="dxa"/>
              <w:left w:w="57" w:type="dxa"/>
              <w:bottom w:w="11" w:type="dxa"/>
              <w:right w:w="57" w:type="dxa"/>
            </w:tcMar>
          </w:tcPr>
          <w:p w14:paraId="3163E120"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Article 61 (pp55-56) and Annex XIV (pp168-9)</w:t>
            </w:r>
          </w:p>
        </w:tc>
        <w:tc>
          <w:tcPr>
            <w:tcW w:w="10079" w:type="dxa"/>
            <w:tcMar>
              <w:top w:w="11" w:type="dxa"/>
              <w:left w:w="57" w:type="dxa"/>
              <w:bottom w:w="11" w:type="dxa"/>
              <w:right w:w="57" w:type="dxa"/>
            </w:tcMar>
          </w:tcPr>
          <w:p w14:paraId="5FC05C78" w14:textId="77777777" w:rsidR="0032609E" w:rsidRPr="0013064C" w:rsidRDefault="0032609E" w:rsidP="0032609E">
            <w:pPr>
              <w:pStyle w:val="ListParagraph"/>
              <w:numPr>
                <w:ilvl w:val="0"/>
                <w:numId w:val="9"/>
              </w:numPr>
              <w:spacing w:before="40" w:after="20" w:line="240" w:lineRule="auto"/>
              <w:ind w:left="374" w:hanging="284"/>
              <w:jc w:val="left"/>
              <w:rPr>
                <w:rFonts w:cs="Arial"/>
                <w:sz w:val="24"/>
                <w:szCs w:val="24"/>
              </w:rPr>
            </w:pPr>
            <w:r w:rsidRPr="0013064C">
              <w:rPr>
                <w:rFonts w:cs="Arial"/>
                <w:sz w:val="24"/>
                <w:szCs w:val="24"/>
              </w:rPr>
              <w:t>Clinical evaluations may be based on clinical data relating to a device to which equivalence can be demonstrated. Equivalence covers 1. Technical aspects: similar design, conditions of use, similar specifications and properties, deployment methods and principles of operation; 2 Biological aspects (where appropriate): same materials in contact with same human tissues (similar kind/duration of contact), similar release characteristics of substances. 3. Clinical aspects: same clinical condition or purpose (similar severity and stage of disease), same body site, similar population (same kind of user), similar relevant critical performance for the expected clinical effect.</w:t>
            </w:r>
          </w:p>
        </w:tc>
      </w:tr>
    </w:tbl>
    <w:p w14:paraId="4A604B22" w14:textId="0622A53C" w:rsidR="008C03EF" w:rsidRPr="0013064C" w:rsidRDefault="008C03EF"/>
    <w:p w14:paraId="4A0E83D7" w14:textId="77777777" w:rsidR="00B267CB" w:rsidRPr="0013064C" w:rsidRDefault="00B267CB" w:rsidP="00B13B73">
      <w:pPr>
        <w:spacing w:after="120"/>
        <w:rPr>
          <w:rFonts w:ascii="Arial" w:hAnsi="Arial" w:cs="Arial"/>
          <w:b/>
          <w:bCs/>
        </w:rPr>
      </w:pPr>
      <w:r w:rsidRPr="0013064C">
        <w:rPr>
          <w:rFonts w:ascii="Arial" w:hAnsi="Arial" w:cs="Arial"/>
          <w:b/>
          <w:bCs/>
        </w:rPr>
        <w:t>Agency: FDA 510(k) (Jul 2014)</w:t>
      </w:r>
      <w:r w:rsidRPr="0013064C">
        <w:rPr>
          <w:rFonts w:ascii="Arial" w:hAnsi="Arial" w:cs="Arial"/>
          <w:b/>
          <w:bCs/>
        </w:rPr>
        <w:tab/>
      </w:r>
    </w:p>
    <w:p w14:paraId="7A299E39" w14:textId="1CC4EEEC" w:rsidR="00B267CB" w:rsidRPr="0013064C" w:rsidRDefault="00B267CB" w:rsidP="00B13B73">
      <w:pPr>
        <w:spacing w:after="120"/>
        <w:rPr>
          <w:rFonts w:ascii="Arial" w:hAnsi="Arial" w:cs="Arial"/>
          <w:b/>
          <w:bCs/>
        </w:rPr>
      </w:pPr>
      <w:r w:rsidRPr="0013064C">
        <w:rPr>
          <w:rFonts w:ascii="Arial" w:hAnsi="Arial" w:cs="Arial"/>
          <w:b/>
          <w:bCs/>
        </w:rPr>
        <w:t>Document: Guidance (1766) on evaluating equivalence of medical devices</w:t>
      </w:r>
    </w:p>
    <w:tbl>
      <w:tblPr>
        <w:tblStyle w:val="TableGrid"/>
        <w:tblW w:w="11349" w:type="dxa"/>
        <w:tblLook w:val="04A0" w:firstRow="1" w:lastRow="0" w:firstColumn="1" w:lastColumn="0" w:noHBand="0" w:noVBand="1"/>
      </w:tblPr>
      <w:tblGrid>
        <w:gridCol w:w="1270"/>
        <w:gridCol w:w="10079"/>
      </w:tblGrid>
      <w:tr w:rsidR="0032609E" w:rsidRPr="0013064C" w14:paraId="703F3667" w14:textId="77777777" w:rsidTr="00092E34">
        <w:tc>
          <w:tcPr>
            <w:tcW w:w="1270" w:type="dxa"/>
            <w:tcMar>
              <w:top w:w="11" w:type="dxa"/>
              <w:left w:w="57" w:type="dxa"/>
              <w:bottom w:w="11" w:type="dxa"/>
              <w:right w:w="57" w:type="dxa"/>
            </w:tcMar>
          </w:tcPr>
          <w:p w14:paraId="1D2DB555" w14:textId="0253623C"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7D924A74" w14:textId="53EC46C7"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Guidance</w:t>
            </w:r>
          </w:p>
        </w:tc>
      </w:tr>
      <w:tr w:rsidR="0032609E" w:rsidRPr="0013064C" w14:paraId="0346EAE8" w14:textId="77777777" w:rsidTr="00092E34">
        <w:tc>
          <w:tcPr>
            <w:tcW w:w="1270" w:type="dxa"/>
            <w:tcMar>
              <w:top w:w="11" w:type="dxa"/>
              <w:left w:w="57" w:type="dxa"/>
              <w:bottom w:w="11" w:type="dxa"/>
              <w:right w:w="57" w:type="dxa"/>
            </w:tcMar>
          </w:tcPr>
          <w:p w14:paraId="5E4099B6"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lastRenderedPageBreak/>
              <w:t>Appendix A (p27)</w:t>
            </w:r>
          </w:p>
        </w:tc>
        <w:tc>
          <w:tcPr>
            <w:tcW w:w="10079" w:type="dxa"/>
            <w:tcMar>
              <w:top w:w="11" w:type="dxa"/>
              <w:left w:w="57" w:type="dxa"/>
              <w:bottom w:w="11" w:type="dxa"/>
              <w:right w:w="57" w:type="dxa"/>
            </w:tcMar>
          </w:tcPr>
          <w:p w14:paraId="6F55C7B0" w14:textId="77777777" w:rsidR="0032609E" w:rsidRPr="0013064C" w:rsidRDefault="0032609E" w:rsidP="0032609E">
            <w:pPr>
              <w:pStyle w:val="ListParagraph"/>
              <w:numPr>
                <w:ilvl w:val="0"/>
                <w:numId w:val="11"/>
              </w:numPr>
              <w:spacing w:before="40" w:after="20" w:line="240" w:lineRule="auto"/>
              <w:ind w:left="390" w:hanging="284"/>
              <w:jc w:val="left"/>
              <w:rPr>
                <w:rFonts w:cs="Arial"/>
                <w:sz w:val="24"/>
                <w:szCs w:val="24"/>
              </w:rPr>
            </w:pPr>
            <w:r w:rsidRPr="0013064C">
              <w:rPr>
                <w:rFonts w:cs="Arial"/>
                <w:sz w:val="24"/>
                <w:szCs w:val="24"/>
              </w:rPr>
              <w:t xml:space="preserve">Assessment of ‘substantial equivalence’ with predicate devices is based on determinations of 1. legal marketing status of predicate, 2. same intended use, 3. same technological characteristics. Where technological characteristics are different an assessment is required of whether safety or effectiveness issues are raised, and if so the acceptability of methods to investigate these and the results (‘clinical data’) of these methods </w:t>
            </w:r>
          </w:p>
          <w:p w14:paraId="48DA8C58" w14:textId="77777777" w:rsidR="0032609E" w:rsidRPr="0013064C" w:rsidRDefault="0032609E" w:rsidP="0032609E">
            <w:pPr>
              <w:pStyle w:val="ListParagraph"/>
              <w:numPr>
                <w:ilvl w:val="0"/>
                <w:numId w:val="11"/>
              </w:numPr>
              <w:spacing w:before="40" w:after="20" w:line="240" w:lineRule="auto"/>
              <w:ind w:left="390" w:hanging="284"/>
              <w:jc w:val="left"/>
              <w:rPr>
                <w:rFonts w:cs="Arial"/>
                <w:sz w:val="24"/>
                <w:szCs w:val="24"/>
              </w:rPr>
            </w:pPr>
            <w:r w:rsidRPr="0013064C">
              <w:rPr>
                <w:sz w:val="24"/>
                <w:szCs w:val="24"/>
              </w:rPr>
              <w:t>Valid scientific evidence is defined in 21 CFR 860.7(c)(2): ‘</w:t>
            </w:r>
            <w:r w:rsidRPr="0013064C">
              <w:rPr>
                <w:i/>
                <w:iCs/>
                <w:sz w:val="24"/>
                <w:szCs w:val="24"/>
              </w:rPr>
              <w:t>from well-controlled investigations, partially controlled studies, studies and objective trials without matched controls, well-documented case histories conducted by qualified experts, and reports of significant human experience with a marketed device, from which it can fairly and responsibly be concluded by qualified experts that there is reasonable assurance of the safety and effectiveness of a device under its conditions of use’</w:t>
            </w:r>
          </w:p>
        </w:tc>
      </w:tr>
    </w:tbl>
    <w:p w14:paraId="6B2F3C21" w14:textId="1B7A8538" w:rsidR="008C03EF" w:rsidRPr="0013064C" w:rsidRDefault="008C03EF"/>
    <w:p w14:paraId="5C6EABE2" w14:textId="77777777" w:rsidR="00B267CB" w:rsidRPr="0013064C" w:rsidRDefault="00B267CB" w:rsidP="00B13B73">
      <w:pPr>
        <w:spacing w:after="120"/>
        <w:rPr>
          <w:rFonts w:ascii="Arial" w:hAnsi="Arial" w:cs="Arial"/>
          <w:b/>
          <w:bCs/>
        </w:rPr>
      </w:pPr>
      <w:r w:rsidRPr="0013064C">
        <w:rPr>
          <w:rFonts w:ascii="Arial" w:hAnsi="Arial" w:cs="Arial"/>
          <w:b/>
          <w:bCs/>
        </w:rPr>
        <w:t xml:space="preserve">Agency: </w:t>
      </w:r>
      <w:proofErr w:type="spellStart"/>
      <w:r w:rsidRPr="0013064C">
        <w:rPr>
          <w:rFonts w:ascii="Arial" w:hAnsi="Arial" w:cs="Arial"/>
          <w:b/>
          <w:bCs/>
        </w:rPr>
        <w:t>EUNetHTA</w:t>
      </w:r>
      <w:proofErr w:type="spellEnd"/>
      <w:r w:rsidRPr="0013064C">
        <w:rPr>
          <w:rFonts w:ascii="Arial" w:hAnsi="Arial" w:cs="Arial"/>
          <w:b/>
          <w:bCs/>
        </w:rPr>
        <w:t xml:space="preserve"> (2015)</w:t>
      </w:r>
      <w:r w:rsidRPr="0013064C">
        <w:rPr>
          <w:rFonts w:ascii="Arial" w:hAnsi="Arial" w:cs="Arial"/>
          <w:b/>
          <w:bCs/>
        </w:rPr>
        <w:tab/>
      </w:r>
    </w:p>
    <w:p w14:paraId="46557256" w14:textId="7BBB5311" w:rsidR="00B267CB" w:rsidRPr="0013064C" w:rsidRDefault="00B267CB" w:rsidP="00B13B73">
      <w:pPr>
        <w:spacing w:after="120"/>
        <w:rPr>
          <w:rFonts w:ascii="Arial" w:hAnsi="Arial" w:cs="Arial"/>
          <w:b/>
          <w:bCs/>
        </w:rPr>
      </w:pPr>
      <w:r w:rsidRPr="0013064C">
        <w:rPr>
          <w:rFonts w:ascii="Arial" w:hAnsi="Arial" w:cs="Arial"/>
          <w:b/>
          <w:bCs/>
        </w:rPr>
        <w:t>Document: Internal validity of randomised controlled trials</w:t>
      </w:r>
    </w:p>
    <w:tbl>
      <w:tblPr>
        <w:tblStyle w:val="TableGrid"/>
        <w:tblW w:w="11349" w:type="dxa"/>
        <w:tblLook w:val="04A0" w:firstRow="1" w:lastRow="0" w:firstColumn="1" w:lastColumn="0" w:noHBand="0" w:noVBand="1"/>
      </w:tblPr>
      <w:tblGrid>
        <w:gridCol w:w="1270"/>
        <w:gridCol w:w="10079"/>
      </w:tblGrid>
      <w:tr w:rsidR="0032609E" w:rsidRPr="0013064C" w14:paraId="798F6585" w14:textId="77777777" w:rsidTr="00092E34">
        <w:tc>
          <w:tcPr>
            <w:tcW w:w="1270" w:type="dxa"/>
            <w:tcMar>
              <w:top w:w="11" w:type="dxa"/>
              <w:left w:w="57" w:type="dxa"/>
              <w:bottom w:w="11" w:type="dxa"/>
              <w:right w:w="57" w:type="dxa"/>
            </w:tcMar>
          </w:tcPr>
          <w:p w14:paraId="722D555D" w14:textId="02858CAD" w:rsidR="0032609E" w:rsidRPr="0013064C" w:rsidRDefault="0032609E" w:rsidP="0032609E">
            <w:pPr>
              <w:spacing w:before="40" w:after="20"/>
              <w:rPr>
                <w:rFonts w:ascii="Arial" w:hAnsi="Arial" w:cs="Arial"/>
                <w:b/>
                <w:bCs/>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5030C200" w14:textId="58727F19" w:rsidR="0032609E" w:rsidRPr="0013064C" w:rsidRDefault="0032609E" w:rsidP="0032609E">
            <w:pPr>
              <w:spacing w:before="40" w:after="20"/>
              <w:rPr>
                <w:rFonts w:ascii="Arial" w:hAnsi="Arial" w:cs="Arial"/>
                <w:b/>
                <w:bCs/>
                <w:sz w:val="24"/>
                <w:szCs w:val="24"/>
              </w:rPr>
            </w:pPr>
            <w:r w:rsidRPr="0013064C">
              <w:rPr>
                <w:rFonts w:ascii="Arial" w:hAnsi="Arial" w:cs="Arial"/>
                <w:b/>
                <w:bCs/>
                <w:sz w:val="24"/>
                <w:szCs w:val="24"/>
              </w:rPr>
              <w:t>Guidance</w:t>
            </w:r>
          </w:p>
        </w:tc>
      </w:tr>
      <w:tr w:rsidR="0032609E" w:rsidRPr="0013064C" w14:paraId="1EFABBB6" w14:textId="77777777" w:rsidTr="00092E34">
        <w:tc>
          <w:tcPr>
            <w:tcW w:w="1270" w:type="dxa"/>
            <w:tcMar>
              <w:top w:w="11" w:type="dxa"/>
              <w:left w:w="57" w:type="dxa"/>
              <w:bottom w:w="11" w:type="dxa"/>
              <w:right w:w="57" w:type="dxa"/>
            </w:tcMar>
          </w:tcPr>
          <w:p w14:paraId="40D9F5CF"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2.2.1 (p11)</w:t>
            </w:r>
          </w:p>
        </w:tc>
        <w:tc>
          <w:tcPr>
            <w:tcW w:w="10079" w:type="dxa"/>
            <w:tcMar>
              <w:top w:w="11" w:type="dxa"/>
              <w:left w:w="57" w:type="dxa"/>
              <w:bottom w:w="11" w:type="dxa"/>
              <w:right w:w="57" w:type="dxa"/>
            </w:tcMar>
          </w:tcPr>
          <w:p w14:paraId="04B7EC8E" w14:textId="77777777" w:rsidR="0032609E" w:rsidRPr="0013064C" w:rsidRDefault="0032609E" w:rsidP="0032609E">
            <w:pPr>
              <w:pStyle w:val="ListParagraph"/>
              <w:numPr>
                <w:ilvl w:val="0"/>
                <w:numId w:val="9"/>
              </w:numPr>
              <w:spacing w:before="40" w:after="20" w:line="240" w:lineRule="auto"/>
              <w:ind w:left="374" w:hanging="283"/>
              <w:jc w:val="left"/>
              <w:rPr>
                <w:rFonts w:cs="Arial"/>
                <w:sz w:val="24"/>
                <w:szCs w:val="24"/>
              </w:rPr>
            </w:pPr>
            <w:r w:rsidRPr="0013064C">
              <w:rPr>
                <w:rFonts w:cs="Arial"/>
                <w:sz w:val="24"/>
                <w:szCs w:val="24"/>
              </w:rPr>
              <w:t>In a superiority trial a replacement strategy (for ITT analysis) which diminishes group differences (e.g. by assigning all lost patients to ‘failures’ or ‘successes’) may lead to a conservative estimate (in favour of the null hypothesis), while the same strategy may lead to an anti-conservative estimate (in favour of the alternative hypothesis) in NI or equivalence trials</w:t>
            </w:r>
          </w:p>
        </w:tc>
      </w:tr>
    </w:tbl>
    <w:p w14:paraId="0E22A398" w14:textId="2C516982" w:rsidR="008C03EF" w:rsidRPr="0013064C" w:rsidRDefault="008C03EF"/>
    <w:p w14:paraId="0FF66CDF" w14:textId="77777777" w:rsidR="00B267CB" w:rsidRPr="0013064C" w:rsidRDefault="00B267CB" w:rsidP="00B13B73">
      <w:pPr>
        <w:spacing w:after="120"/>
        <w:rPr>
          <w:rFonts w:ascii="Arial" w:hAnsi="Arial" w:cs="Arial"/>
          <w:b/>
          <w:bCs/>
        </w:rPr>
      </w:pPr>
      <w:r w:rsidRPr="0013064C">
        <w:rPr>
          <w:rFonts w:ascii="Arial" w:hAnsi="Arial" w:cs="Arial"/>
          <w:b/>
          <w:bCs/>
        </w:rPr>
        <w:t xml:space="preserve">Agency: </w:t>
      </w:r>
      <w:proofErr w:type="spellStart"/>
      <w:r w:rsidRPr="0013064C">
        <w:rPr>
          <w:rFonts w:ascii="Arial" w:hAnsi="Arial" w:cs="Arial"/>
          <w:b/>
          <w:bCs/>
        </w:rPr>
        <w:t>IQWiG</w:t>
      </w:r>
      <w:proofErr w:type="spellEnd"/>
      <w:r w:rsidRPr="0013064C">
        <w:rPr>
          <w:rFonts w:ascii="Arial" w:hAnsi="Arial" w:cs="Arial"/>
          <w:b/>
          <w:bCs/>
        </w:rPr>
        <w:t xml:space="preserve"> (Jul 2015)</w:t>
      </w:r>
      <w:r w:rsidRPr="0013064C">
        <w:rPr>
          <w:rFonts w:ascii="Arial" w:hAnsi="Arial" w:cs="Arial"/>
          <w:b/>
          <w:bCs/>
        </w:rPr>
        <w:tab/>
      </w:r>
    </w:p>
    <w:p w14:paraId="4A4967A2" w14:textId="65412A08" w:rsidR="00B267CB" w:rsidRPr="0013064C" w:rsidRDefault="00B267CB" w:rsidP="00B13B73">
      <w:pPr>
        <w:spacing w:after="120"/>
        <w:rPr>
          <w:rFonts w:ascii="Arial" w:hAnsi="Arial" w:cs="Arial"/>
          <w:b/>
          <w:bCs/>
        </w:rPr>
      </w:pPr>
      <w:r w:rsidRPr="0013064C">
        <w:rPr>
          <w:rFonts w:ascii="Arial" w:hAnsi="Arial" w:cs="Arial"/>
          <w:b/>
          <w:bCs/>
        </w:rPr>
        <w:t>Document: General Methods Version 5</w:t>
      </w:r>
    </w:p>
    <w:tbl>
      <w:tblPr>
        <w:tblStyle w:val="TableGrid"/>
        <w:tblW w:w="11349" w:type="dxa"/>
        <w:tblLook w:val="04A0" w:firstRow="1" w:lastRow="0" w:firstColumn="1" w:lastColumn="0" w:noHBand="0" w:noVBand="1"/>
      </w:tblPr>
      <w:tblGrid>
        <w:gridCol w:w="1270"/>
        <w:gridCol w:w="10079"/>
      </w:tblGrid>
      <w:tr w:rsidR="0032609E" w:rsidRPr="0013064C" w14:paraId="009ED0D7" w14:textId="77777777" w:rsidTr="00092E34">
        <w:tc>
          <w:tcPr>
            <w:tcW w:w="1270" w:type="dxa"/>
            <w:tcMar>
              <w:top w:w="11" w:type="dxa"/>
              <w:left w:w="57" w:type="dxa"/>
              <w:bottom w:w="11" w:type="dxa"/>
              <w:right w:w="57" w:type="dxa"/>
            </w:tcMar>
          </w:tcPr>
          <w:p w14:paraId="680E8664" w14:textId="66B1972A" w:rsidR="0032609E" w:rsidRPr="0013064C" w:rsidRDefault="0032609E" w:rsidP="0032609E">
            <w:pPr>
              <w:spacing w:before="40" w:after="20"/>
              <w:rPr>
                <w:rFonts w:ascii="Arial" w:hAnsi="Arial" w:cs="Arial"/>
                <w:sz w:val="24"/>
                <w:szCs w:val="24"/>
              </w:rPr>
            </w:pPr>
            <w:r w:rsidRPr="0013064C">
              <w:rPr>
                <w:rFonts w:ascii="Arial" w:hAnsi="Arial" w:cs="Arial"/>
                <w:b/>
                <w:bCs/>
                <w:sz w:val="24"/>
                <w:szCs w:val="24"/>
              </w:rPr>
              <w:t>Section</w:t>
            </w:r>
          </w:p>
        </w:tc>
        <w:tc>
          <w:tcPr>
            <w:tcW w:w="10079" w:type="dxa"/>
            <w:tcMar>
              <w:top w:w="11" w:type="dxa"/>
              <w:left w:w="57" w:type="dxa"/>
              <w:bottom w:w="11" w:type="dxa"/>
              <w:right w:w="57" w:type="dxa"/>
            </w:tcMar>
          </w:tcPr>
          <w:p w14:paraId="1046A118" w14:textId="460111C8" w:rsidR="0032609E" w:rsidRPr="0013064C" w:rsidRDefault="0032609E" w:rsidP="0032609E">
            <w:pPr>
              <w:spacing w:before="40" w:after="20"/>
              <w:rPr>
                <w:rFonts w:cs="Arial"/>
                <w:sz w:val="24"/>
                <w:szCs w:val="24"/>
              </w:rPr>
            </w:pPr>
            <w:r w:rsidRPr="0013064C">
              <w:rPr>
                <w:rFonts w:ascii="Arial" w:hAnsi="Arial" w:cs="Arial"/>
                <w:b/>
                <w:bCs/>
                <w:sz w:val="24"/>
                <w:szCs w:val="24"/>
              </w:rPr>
              <w:t>Guidance</w:t>
            </w:r>
          </w:p>
        </w:tc>
      </w:tr>
      <w:tr w:rsidR="0032609E" w:rsidRPr="0013064C" w14:paraId="2D2C1EC8" w14:textId="77777777" w:rsidTr="00092E34">
        <w:tc>
          <w:tcPr>
            <w:tcW w:w="1270" w:type="dxa"/>
            <w:tcMar>
              <w:top w:w="11" w:type="dxa"/>
              <w:left w:w="57" w:type="dxa"/>
              <w:bottom w:w="11" w:type="dxa"/>
              <w:right w:w="57" w:type="dxa"/>
            </w:tcMar>
          </w:tcPr>
          <w:p w14:paraId="2F8B6305"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 xml:space="preserve">9.3.6 (p178-9) </w:t>
            </w:r>
          </w:p>
          <w:p w14:paraId="11627263" w14:textId="77777777" w:rsidR="0032609E" w:rsidRPr="0013064C" w:rsidRDefault="0032609E" w:rsidP="0032609E">
            <w:pPr>
              <w:spacing w:before="40" w:after="20"/>
              <w:rPr>
                <w:rFonts w:ascii="Arial" w:hAnsi="Arial" w:cs="Arial"/>
                <w:sz w:val="24"/>
                <w:szCs w:val="24"/>
              </w:rPr>
            </w:pPr>
            <w:r w:rsidRPr="0013064C">
              <w:rPr>
                <w:rFonts w:ascii="Arial" w:hAnsi="Arial" w:cs="Arial"/>
                <w:sz w:val="24"/>
                <w:szCs w:val="24"/>
              </w:rPr>
              <w:t xml:space="preserve"> </w:t>
            </w:r>
          </w:p>
        </w:tc>
        <w:tc>
          <w:tcPr>
            <w:tcW w:w="10079" w:type="dxa"/>
            <w:tcMar>
              <w:top w:w="11" w:type="dxa"/>
              <w:left w:w="57" w:type="dxa"/>
              <w:bottom w:w="11" w:type="dxa"/>
              <w:right w:w="57" w:type="dxa"/>
            </w:tcMar>
          </w:tcPr>
          <w:p w14:paraId="08CB02F4" w14:textId="77777777" w:rsidR="0032609E" w:rsidRPr="0013064C" w:rsidRDefault="0032609E" w:rsidP="0032609E">
            <w:pPr>
              <w:pStyle w:val="ListParagraph"/>
              <w:numPr>
                <w:ilvl w:val="0"/>
                <w:numId w:val="9"/>
              </w:numPr>
              <w:spacing w:before="40" w:after="20" w:line="240" w:lineRule="auto"/>
              <w:ind w:left="374" w:hanging="283"/>
              <w:jc w:val="left"/>
              <w:rPr>
                <w:rFonts w:cs="Arial"/>
                <w:sz w:val="24"/>
                <w:szCs w:val="24"/>
              </w:rPr>
            </w:pPr>
            <w:r w:rsidRPr="0013064C">
              <w:rPr>
                <w:rFonts w:cs="Arial"/>
                <w:sz w:val="24"/>
                <w:szCs w:val="24"/>
              </w:rPr>
              <w:t>In practice, the requirement is generally not a demonstration of exact equivalence, but that the difference between 2 groups is “at most irrelevant”. This depends on first defining what an irrelevant difference is (i.e. specifying an equivalence range). The range can be two-</w:t>
            </w:r>
            <w:r w:rsidRPr="0013064C">
              <w:rPr>
                <w:rFonts w:cs="Arial"/>
                <w:sz w:val="24"/>
                <w:szCs w:val="24"/>
              </w:rPr>
              <w:lastRenderedPageBreak/>
              <w:t>sided, resulting in an equivalence interval, or one-sided in terms of an “at most irrelevant difference” or “at most irrelevant inferiority” (referred to as a “non-inferiority hypothesis”)</w:t>
            </w:r>
          </w:p>
          <w:p w14:paraId="6F3D0CF3" w14:textId="77777777" w:rsidR="0032609E" w:rsidRPr="0013064C" w:rsidRDefault="0032609E" w:rsidP="0032609E">
            <w:pPr>
              <w:pStyle w:val="ListParagraph"/>
              <w:numPr>
                <w:ilvl w:val="0"/>
                <w:numId w:val="9"/>
              </w:numPr>
              <w:spacing w:before="40" w:after="20" w:line="240" w:lineRule="auto"/>
              <w:ind w:left="374" w:hanging="283"/>
              <w:jc w:val="left"/>
              <w:rPr>
                <w:rFonts w:cs="Arial"/>
                <w:sz w:val="24"/>
                <w:szCs w:val="24"/>
              </w:rPr>
            </w:pPr>
            <w:r w:rsidRPr="0013064C">
              <w:rPr>
                <w:rFonts w:cs="Arial"/>
                <w:sz w:val="24"/>
                <w:szCs w:val="24"/>
              </w:rPr>
              <w:t>A frequently used technique to analyse equivalence studies is the confidence interval approach, where equivalence is demonstrated if the confidence interval lies entirely within the equivalence range, defined a priori. To maintain the level of α = 0.05, calculating a 90% confidence interval is sufficient, but generally 95% confidence intervals are used, to follow the international approach</w:t>
            </w:r>
          </w:p>
          <w:p w14:paraId="1426BCF7" w14:textId="77777777" w:rsidR="0032609E" w:rsidRPr="0013064C" w:rsidRDefault="0032609E" w:rsidP="0032609E">
            <w:pPr>
              <w:pStyle w:val="ListParagraph"/>
              <w:numPr>
                <w:ilvl w:val="0"/>
                <w:numId w:val="9"/>
              </w:numPr>
              <w:spacing w:before="40" w:after="20" w:line="240" w:lineRule="auto"/>
              <w:ind w:left="374" w:hanging="283"/>
              <w:jc w:val="left"/>
              <w:rPr>
                <w:rFonts w:cs="Arial"/>
                <w:sz w:val="24"/>
                <w:szCs w:val="24"/>
              </w:rPr>
            </w:pPr>
            <w:r w:rsidRPr="0013064C">
              <w:rPr>
                <w:rFonts w:cs="Arial"/>
                <w:sz w:val="24"/>
                <w:szCs w:val="24"/>
              </w:rPr>
              <w:t>Caution is necessary in the evaluation of equivalence studies, which show specific methodological problems: (a) it is often difficult to provide meaningful definitions of equivalence ranges; (b) usual study design criteria, such as randomization and blinding, no longer sufficiently protecting from bias; (c) the ITT principle should be applied carefully, as inappropriate use may falsely indicate equivalence</w:t>
            </w:r>
          </w:p>
        </w:tc>
      </w:tr>
    </w:tbl>
    <w:p w14:paraId="4904E999" w14:textId="09B0F249" w:rsidR="003E5A99" w:rsidRPr="0013064C" w:rsidRDefault="003E5A99">
      <w:pPr>
        <w:rPr>
          <w:rFonts w:cs="Arial"/>
          <w:b/>
          <w:bCs/>
        </w:rPr>
      </w:pPr>
    </w:p>
    <w:p w14:paraId="6A2E03B5" w14:textId="77777777" w:rsidR="00AF40C4" w:rsidRDefault="00AF40C4" w:rsidP="00C60A9E">
      <w:pPr>
        <w:pStyle w:val="Heading1"/>
        <w:tabs>
          <w:tab w:val="clear" w:pos="2160"/>
        </w:tabs>
        <w:ind w:left="2552" w:hanging="2552"/>
        <w:sectPr w:rsidR="00AF40C4" w:rsidSect="00AF40C4">
          <w:footerReference w:type="default" r:id="rId22"/>
          <w:pgSz w:w="16817" w:h="11901" w:orient="landscape" w:code="9"/>
          <w:pgMar w:top="1440" w:right="1701" w:bottom="1440" w:left="992" w:header="703" w:footer="527" w:gutter="0"/>
          <w:cols w:space="708"/>
          <w:docGrid w:linePitch="360"/>
        </w:sectPr>
      </w:pPr>
    </w:p>
    <w:p w14:paraId="5C826CA5" w14:textId="44CC3C31" w:rsidR="00C60A9E" w:rsidRPr="00344469" w:rsidRDefault="00D10F12" w:rsidP="00C60A9E">
      <w:pPr>
        <w:pStyle w:val="Heading1"/>
        <w:tabs>
          <w:tab w:val="clear" w:pos="2160"/>
        </w:tabs>
        <w:ind w:left="2552" w:hanging="2552"/>
      </w:pPr>
      <w:bookmarkStart w:id="6" w:name="_Toc31727299"/>
      <w:r>
        <w:lastRenderedPageBreak/>
        <w:t>Literature review</w:t>
      </w:r>
      <w:bookmarkEnd w:id="6"/>
    </w:p>
    <w:p w14:paraId="128EDC85" w14:textId="3D22B0D5" w:rsidR="00C60A9E" w:rsidRDefault="00C60A9E" w:rsidP="00C60A9E">
      <w:pPr>
        <w:pStyle w:val="ReportText"/>
        <w:rPr>
          <w:rFonts w:cs="Arial"/>
        </w:rPr>
      </w:pPr>
    </w:p>
    <w:p w14:paraId="76E6B3A4" w14:textId="469EDD68" w:rsidR="00E5599D" w:rsidRDefault="00E5599D" w:rsidP="00C60A9E">
      <w:pPr>
        <w:pStyle w:val="ReportText"/>
        <w:rPr>
          <w:rFonts w:cs="Arial"/>
        </w:rPr>
      </w:pPr>
    </w:p>
    <w:p w14:paraId="57A0CB6D" w14:textId="77777777" w:rsidR="00E5599D" w:rsidRPr="0013064C" w:rsidRDefault="00E5599D" w:rsidP="00C60A9E">
      <w:pPr>
        <w:pStyle w:val="ReportText"/>
        <w:rPr>
          <w:rFonts w:cs="Arial"/>
          <w:sz w:val="24"/>
          <w:szCs w:val="24"/>
        </w:rPr>
      </w:pPr>
    </w:p>
    <w:p w14:paraId="36FF102E" w14:textId="5C46C2FA" w:rsidR="004B2AB6" w:rsidRPr="0013064C" w:rsidRDefault="004B2AB6" w:rsidP="001B6832">
      <w:pPr>
        <w:pStyle w:val="ReportText"/>
        <w:jc w:val="left"/>
        <w:rPr>
          <w:rFonts w:cs="Arial"/>
          <w:sz w:val="24"/>
          <w:szCs w:val="24"/>
        </w:rPr>
      </w:pPr>
      <w:r w:rsidRPr="0013064C">
        <w:rPr>
          <w:rFonts w:cs="Arial"/>
          <w:sz w:val="24"/>
          <w:szCs w:val="24"/>
        </w:rPr>
        <w:t>The regulatory information identified in the previous section provided substantial background to developing recommendations on how non-inferiority and equivalence studies should be assessed for their quality</w:t>
      </w:r>
      <w:r w:rsidR="00E5599D" w:rsidRPr="0013064C">
        <w:rPr>
          <w:rFonts w:cs="Arial"/>
          <w:sz w:val="24"/>
          <w:szCs w:val="24"/>
        </w:rPr>
        <w:t>.  Therefore,</w:t>
      </w:r>
      <w:r w:rsidRPr="0013064C">
        <w:rPr>
          <w:rFonts w:cs="Arial"/>
          <w:sz w:val="24"/>
          <w:szCs w:val="24"/>
        </w:rPr>
        <w:t xml:space="preserve"> the focus of the pragmatic literature review was to identify published literature on how non-inferiority and equivalence trials are being undertaken and reported in practice and on specific methodology issues related to diagnostics and indirect treatment comparisons.</w:t>
      </w:r>
    </w:p>
    <w:p w14:paraId="4B1CF9D6" w14:textId="77777777" w:rsidR="004B2AB6" w:rsidRPr="0013064C" w:rsidRDefault="004B2AB6" w:rsidP="001B6832">
      <w:pPr>
        <w:pStyle w:val="ReportText"/>
        <w:jc w:val="left"/>
        <w:rPr>
          <w:rFonts w:cs="Arial"/>
          <w:sz w:val="24"/>
          <w:szCs w:val="24"/>
        </w:rPr>
      </w:pPr>
    </w:p>
    <w:p w14:paraId="305E5683" w14:textId="21B2DF7E" w:rsidR="00B06FE2" w:rsidRPr="0013064C" w:rsidRDefault="00B06FE2" w:rsidP="001B6832">
      <w:pPr>
        <w:pStyle w:val="ReportText"/>
        <w:jc w:val="left"/>
        <w:rPr>
          <w:rFonts w:cs="Arial"/>
          <w:sz w:val="24"/>
          <w:szCs w:val="24"/>
        </w:rPr>
      </w:pPr>
      <w:r w:rsidRPr="0013064C">
        <w:rPr>
          <w:rFonts w:cs="Arial"/>
          <w:sz w:val="24"/>
          <w:szCs w:val="24"/>
        </w:rPr>
        <w:t>A preliminary search of the literature in PubMed highlighted that the volume of literature on methods employed in non-inferiority and equivalence trials and the quality of such studies was substantial</w:t>
      </w:r>
      <w:r w:rsidR="00E5599D" w:rsidRPr="0013064C">
        <w:rPr>
          <w:rFonts w:cs="Arial"/>
          <w:sz w:val="24"/>
          <w:szCs w:val="24"/>
        </w:rPr>
        <w:t>,</w:t>
      </w:r>
      <w:r w:rsidRPr="0013064C">
        <w:rPr>
          <w:rFonts w:cs="Arial"/>
          <w:sz w:val="24"/>
          <w:szCs w:val="24"/>
        </w:rPr>
        <w:t xml:space="preserve"> and </w:t>
      </w:r>
      <w:r w:rsidR="00E5599D" w:rsidRPr="0013064C">
        <w:rPr>
          <w:rFonts w:cs="Arial"/>
          <w:sz w:val="24"/>
          <w:szCs w:val="24"/>
        </w:rPr>
        <w:t xml:space="preserve">that </w:t>
      </w:r>
      <w:r w:rsidRPr="0013064C">
        <w:rPr>
          <w:rFonts w:cs="Arial"/>
          <w:sz w:val="24"/>
          <w:szCs w:val="24"/>
        </w:rPr>
        <w:t>a pragmatic approach to literature identification was required.</w:t>
      </w:r>
      <w:r w:rsidR="00E5599D" w:rsidRPr="0013064C">
        <w:rPr>
          <w:rFonts w:cs="Arial"/>
          <w:sz w:val="24"/>
          <w:szCs w:val="24"/>
        </w:rPr>
        <w:t xml:space="preserve">  </w:t>
      </w:r>
      <w:r w:rsidRPr="0013064C">
        <w:rPr>
          <w:rFonts w:cs="Arial"/>
          <w:sz w:val="24"/>
          <w:szCs w:val="24"/>
        </w:rPr>
        <w:t xml:space="preserve">The preliminary search identified a number of systematic reviews of methods employed, reporting and analysis in non-inferiority and equivalence trials as well as studies that summarised approaches and challenges to undertaking non-inferiority and equivalence trials. </w:t>
      </w:r>
      <w:r w:rsidR="00E5599D" w:rsidRPr="0013064C">
        <w:rPr>
          <w:rFonts w:cs="Arial"/>
          <w:sz w:val="24"/>
          <w:szCs w:val="24"/>
        </w:rPr>
        <w:t xml:space="preserve"> </w:t>
      </w:r>
      <w:r w:rsidRPr="0013064C">
        <w:rPr>
          <w:rFonts w:cs="Arial"/>
          <w:sz w:val="24"/>
          <w:szCs w:val="24"/>
        </w:rPr>
        <w:t>Many of the studies provided the same information and so</w:t>
      </w:r>
      <w:r w:rsidR="00E5599D" w:rsidRPr="0013064C">
        <w:rPr>
          <w:rFonts w:cs="Arial"/>
          <w:sz w:val="24"/>
          <w:szCs w:val="24"/>
        </w:rPr>
        <w:t>,</w:t>
      </w:r>
      <w:r w:rsidRPr="0013064C">
        <w:rPr>
          <w:rFonts w:cs="Arial"/>
          <w:sz w:val="24"/>
          <w:szCs w:val="24"/>
        </w:rPr>
        <w:t xml:space="preserve"> to make the review tractable, </w:t>
      </w:r>
      <w:r w:rsidR="004B2AB6" w:rsidRPr="0013064C">
        <w:rPr>
          <w:rFonts w:cs="Arial"/>
          <w:sz w:val="24"/>
          <w:szCs w:val="24"/>
        </w:rPr>
        <w:t>a</w:t>
      </w:r>
      <w:r w:rsidRPr="0013064C">
        <w:rPr>
          <w:rFonts w:cs="Arial"/>
          <w:sz w:val="24"/>
          <w:szCs w:val="24"/>
        </w:rPr>
        <w:t xml:space="preserve"> recent systematic review on non-inferiority and equivalence trials (</w:t>
      </w:r>
      <w:proofErr w:type="spellStart"/>
      <w:r w:rsidRPr="0013064C">
        <w:rPr>
          <w:rFonts w:cs="Arial"/>
          <w:sz w:val="24"/>
          <w:szCs w:val="24"/>
        </w:rPr>
        <w:t>Althunian</w:t>
      </w:r>
      <w:proofErr w:type="spellEnd"/>
      <w:r w:rsidRPr="0013064C">
        <w:rPr>
          <w:rFonts w:cs="Arial"/>
          <w:sz w:val="24"/>
          <w:szCs w:val="24"/>
        </w:rPr>
        <w:t xml:space="preserve"> 201</w:t>
      </w:r>
      <w:r w:rsidR="004B2AB6" w:rsidRPr="0013064C">
        <w:rPr>
          <w:rFonts w:cs="Arial"/>
          <w:sz w:val="24"/>
          <w:szCs w:val="24"/>
        </w:rPr>
        <w:t>7) was</w:t>
      </w:r>
      <w:r w:rsidRPr="0013064C">
        <w:rPr>
          <w:rFonts w:cs="Arial"/>
          <w:sz w:val="24"/>
          <w:szCs w:val="24"/>
        </w:rPr>
        <w:t xml:space="preserve"> used as the basis for this </w:t>
      </w:r>
      <w:r w:rsidR="004B2AB6" w:rsidRPr="0013064C">
        <w:rPr>
          <w:rFonts w:cs="Arial"/>
          <w:sz w:val="24"/>
          <w:szCs w:val="24"/>
        </w:rPr>
        <w:t>pragmatic review</w:t>
      </w:r>
      <w:r w:rsidRPr="0013064C">
        <w:rPr>
          <w:rFonts w:cs="Arial"/>
          <w:sz w:val="24"/>
          <w:szCs w:val="24"/>
        </w:rPr>
        <w:t>, with studies published from 2010 until the end of 2019 only included if they provided additional information on specific methods or challenges with methods not covered in the review.</w:t>
      </w:r>
      <w:r w:rsidR="004B2AB6" w:rsidRPr="0013064C">
        <w:rPr>
          <w:rFonts w:cs="Arial"/>
          <w:sz w:val="24"/>
          <w:szCs w:val="24"/>
        </w:rPr>
        <w:t xml:space="preserve">  </w:t>
      </w:r>
    </w:p>
    <w:p w14:paraId="1975342A" w14:textId="405EE881" w:rsidR="00C5109F" w:rsidRPr="0013064C" w:rsidRDefault="00C5109F" w:rsidP="001B6832">
      <w:pPr>
        <w:pStyle w:val="ReportText"/>
        <w:jc w:val="left"/>
        <w:rPr>
          <w:rFonts w:cs="Arial"/>
          <w:sz w:val="24"/>
          <w:szCs w:val="24"/>
        </w:rPr>
      </w:pPr>
    </w:p>
    <w:p w14:paraId="6FB59C2E" w14:textId="0383BE1E" w:rsidR="00B773F3" w:rsidRPr="0013064C" w:rsidRDefault="00C5109F" w:rsidP="001B6832">
      <w:pPr>
        <w:pStyle w:val="ReportText"/>
        <w:jc w:val="left"/>
        <w:rPr>
          <w:rFonts w:cs="Arial"/>
          <w:sz w:val="24"/>
          <w:szCs w:val="24"/>
        </w:rPr>
      </w:pPr>
      <w:r w:rsidRPr="0013064C">
        <w:rPr>
          <w:rFonts w:cs="Arial"/>
          <w:sz w:val="24"/>
          <w:szCs w:val="24"/>
        </w:rPr>
        <w:t xml:space="preserve">For issues related to diagnostics, </w:t>
      </w:r>
      <w:r w:rsidR="00B773F3" w:rsidRPr="0013064C">
        <w:rPr>
          <w:rFonts w:cs="Arial"/>
          <w:sz w:val="24"/>
          <w:szCs w:val="24"/>
        </w:rPr>
        <w:t xml:space="preserve">only </w:t>
      </w:r>
      <w:r w:rsidRPr="0013064C">
        <w:rPr>
          <w:rFonts w:cs="Arial"/>
          <w:sz w:val="24"/>
          <w:szCs w:val="24"/>
        </w:rPr>
        <w:t xml:space="preserve">one study </w:t>
      </w:r>
      <w:r w:rsidR="00B773F3" w:rsidRPr="0013064C">
        <w:rPr>
          <w:rFonts w:cs="Arial"/>
          <w:sz w:val="24"/>
          <w:szCs w:val="24"/>
        </w:rPr>
        <w:t xml:space="preserve">published after 2010 was identified that summarised the approach to non-inferiority testing whilst a second provided an alternative approach to testing sensitivity and specificity jointly.  </w:t>
      </w:r>
    </w:p>
    <w:p w14:paraId="11110943" w14:textId="77777777" w:rsidR="00B773F3" w:rsidRPr="0013064C" w:rsidRDefault="00B773F3" w:rsidP="001B6832">
      <w:pPr>
        <w:pStyle w:val="ReportText"/>
        <w:jc w:val="left"/>
        <w:rPr>
          <w:rFonts w:cs="Arial"/>
          <w:sz w:val="24"/>
          <w:szCs w:val="24"/>
        </w:rPr>
      </w:pPr>
    </w:p>
    <w:p w14:paraId="60B4FF1C" w14:textId="77777777" w:rsidR="00B577C7" w:rsidRPr="0013064C" w:rsidRDefault="00B773F3" w:rsidP="001B6832">
      <w:pPr>
        <w:pStyle w:val="ReportText"/>
        <w:jc w:val="left"/>
        <w:rPr>
          <w:rFonts w:cs="Arial"/>
          <w:sz w:val="24"/>
          <w:szCs w:val="24"/>
        </w:rPr>
      </w:pPr>
      <w:r w:rsidRPr="0013064C">
        <w:rPr>
          <w:rFonts w:cs="Arial"/>
          <w:sz w:val="24"/>
          <w:szCs w:val="24"/>
        </w:rPr>
        <w:t xml:space="preserve">One study published after 2010 </w:t>
      </w:r>
      <w:r w:rsidR="00B577C7" w:rsidRPr="0013064C">
        <w:rPr>
          <w:rFonts w:cs="Arial"/>
          <w:sz w:val="24"/>
          <w:szCs w:val="24"/>
        </w:rPr>
        <w:t>reported how indirect treatment comparisons could be used in non-inferiority testing where no head to head trial existed.</w:t>
      </w:r>
    </w:p>
    <w:p w14:paraId="4AC710D6" w14:textId="77777777" w:rsidR="00B577C7" w:rsidRPr="0013064C" w:rsidRDefault="00B577C7" w:rsidP="001B6832">
      <w:pPr>
        <w:pStyle w:val="ReportText"/>
        <w:jc w:val="left"/>
        <w:rPr>
          <w:rFonts w:cs="Arial"/>
          <w:sz w:val="24"/>
          <w:szCs w:val="24"/>
        </w:rPr>
      </w:pPr>
    </w:p>
    <w:p w14:paraId="0DAEA759" w14:textId="3BFC67DF" w:rsidR="00C60A9E" w:rsidRPr="0013064C" w:rsidRDefault="00C60A9E" w:rsidP="001B6832"/>
    <w:p w14:paraId="5D29A117" w14:textId="239B5B99" w:rsidR="0049297C" w:rsidRPr="0013064C" w:rsidRDefault="0049297C" w:rsidP="001B6832">
      <w:pPr>
        <w:pStyle w:val="Heading2"/>
        <w:jc w:val="left"/>
        <w:rPr>
          <w:sz w:val="24"/>
          <w:szCs w:val="24"/>
        </w:rPr>
      </w:pPr>
      <w:bookmarkStart w:id="7" w:name="_Toc31727300"/>
      <w:r w:rsidRPr="0013064C">
        <w:rPr>
          <w:sz w:val="24"/>
          <w:szCs w:val="24"/>
        </w:rPr>
        <w:t>Quality of non-inferiority/equivalence studies</w:t>
      </w:r>
      <w:bookmarkEnd w:id="7"/>
    </w:p>
    <w:p w14:paraId="6C5DD4A4" w14:textId="77777777" w:rsidR="006F1777" w:rsidRPr="0013064C" w:rsidRDefault="006F1777" w:rsidP="001B6832"/>
    <w:p w14:paraId="66B37935" w14:textId="2B4C6989" w:rsidR="006F1777" w:rsidRPr="0013064C" w:rsidRDefault="006F1777" w:rsidP="001B6832">
      <w:pPr>
        <w:pStyle w:val="ReportText"/>
        <w:jc w:val="left"/>
        <w:rPr>
          <w:rFonts w:cs="Arial"/>
          <w:sz w:val="24"/>
          <w:szCs w:val="24"/>
        </w:rPr>
      </w:pPr>
      <w:proofErr w:type="spellStart"/>
      <w:r w:rsidRPr="0013064C">
        <w:rPr>
          <w:rFonts w:cs="Arial"/>
          <w:sz w:val="24"/>
          <w:szCs w:val="24"/>
        </w:rPr>
        <w:t>Althunian</w:t>
      </w:r>
      <w:proofErr w:type="spellEnd"/>
      <w:r w:rsidR="0049297C" w:rsidRPr="0013064C">
        <w:rPr>
          <w:rFonts w:cs="Arial"/>
          <w:sz w:val="24"/>
          <w:szCs w:val="24"/>
        </w:rPr>
        <w:t xml:space="preserve"> (2017)</w:t>
      </w:r>
      <w:r w:rsidRPr="0013064C">
        <w:rPr>
          <w:rFonts w:cs="Arial"/>
          <w:sz w:val="24"/>
          <w:szCs w:val="24"/>
        </w:rPr>
        <w:t xml:space="preserve"> conducted a systematic review to assess whether non-inferiority studies were adequately reporting the non-inferiority margin and the methods that were being employed to determine the margin. The study in part was driven by an extension to the 2010 CONSORT checklist for reporting of non-inferiority and equivalence trials which stated that the non-inferiority margin (see Appendix A) and methods to determine the margin should be reported was published in 2012 (Piaggio 2012), and also driven by the FDA guidelines for industry published in 2016 on how non-inferiority studies should be conducted. </w:t>
      </w:r>
    </w:p>
    <w:p w14:paraId="0E3DDA2C" w14:textId="77777777" w:rsidR="006F1777" w:rsidRPr="0013064C" w:rsidRDefault="006F1777" w:rsidP="001B6832">
      <w:pPr>
        <w:pStyle w:val="ReportText"/>
        <w:jc w:val="left"/>
        <w:rPr>
          <w:rFonts w:cs="Arial"/>
          <w:sz w:val="24"/>
          <w:szCs w:val="24"/>
        </w:rPr>
      </w:pPr>
    </w:p>
    <w:p w14:paraId="75E77D62" w14:textId="70667549" w:rsidR="006F1777" w:rsidRPr="0013064C" w:rsidRDefault="006F1777" w:rsidP="001B6832">
      <w:pPr>
        <w:pStyle w:val="ReportText"/>
        <w:jc w:val="left"/>
        <w:rPr>
          <w:rFonts w:cs="Arial"/>
          <w:sz w:val="24"/>
          <w:szCs w:val="24"/>
        </w:rPr>
      </w:pPr>
      <w:r w:rsidRPr="0013064C">
        <w:rPr>
          <w:rFonts w:cs="Arial"/>
          <w:sz w:val="24"/>
          <w:szCs w:val="24"/>
        </w:rPr>
        <w:t>The literature searches identified 273 articles on randomised non-inferiority trials from 1966 to 2015 to understand how non-inferiority margins were defined and reported.</w:t>
      </w:r>
      <w:r w:rsidR="002660AC" w:rsidRPr="0013064C">
        <w:rPr>
          <w:rFonts w:cs="Arial"/>
          <w:sz w:val="24"/>
          <w:szCs w:val="24"/>
        </w:rPr>
        <w:t xml:space="preserve"> </w:t>
      </w:r>
      <w:r w:rsidRPr="0013064C">
        <w:rPr>
          <w:rFonts w:cs="Arial"/>
          <w:sz w:val="24"/>
          <w:szCs w:val="24"/>
        </w:rPr>
        <w:t xml:space="preserve"> Only trials that could influence pharmaceutical regulatory decisions were included, so only blinded, randomised, controlled drug trials were eligible for the review.</w:t>
      </w:r>
    </w:p>
    <w:p w14:paraId="4CC209AB" w14:textId="77777777" w:rsidR="006F1777" w:rsidRPr="0013064C" w:rsidRDefault="006F1777" w:rsidP="001B6832">
      <w:pPr>
        <w:pStyle w:val="ReportText"/>
        <w:jc w:val="left"/>
        <w:rPr>
          <w:rFonts w:cs="Arial"/>
          <w:sz w:val="24"/>
          <w:szCs w:val="24"/>
        </w:rPr>
      </w:pPr>
    </w:p>
    <w:p w14:paraId="4AF9C2B5" w14:textId="753E2F9E" w:rsidR="006F1777" w:rsidRPr="0013064C" w:rsidRDefault="006F1777" w:rsidP="001B6832">
      <w:pPr>
        <w:pStyle w:val="ReportText"/>
        <w:jc w:val="left"/>
        <w:rPr>
          <w:rFonts w:cs="Arial"/>
          <w:sz w:val="24"/>
          <w:szCs w:val="24"/>
        </w:rPr>
      </w:pPr>
      <w:r w:rsidRPr="0013064C">
        <w:rPr>
          <w:rFonts w:cs="Arial"/>
          <w:sz w:val="24"/>
          <w:szCs w:val="24"/>
        </w:rPr>
        <w:t xml:space="preserve">Within the review, </w:t>
      </w:r>
      <w:proofErr w:type="spellStart"/>
      <w:r w:rsidRPr="0013064C">
        <w:rPr>
          <w:rFonts w:cs="Arial"/>
          <w:sz w:val="24"/>
          <w:szCs w:val="24"/>
        </w:rPr>
        <w:t>Althunian</w:t>
      </w:r>
      <w:proofErr w:type="spellEnd"/>
      <w:r w:rsidRPr="0013064C">
        <w:rPr>
          <w:rFonts w:cs="Arial"/>
          <w:sz w:val="24"/>
          <w:szCs w:val="24"/>
        </w:rPr>
        <w:t xml:space="preserve"> described the main ways that non-inferior margins can be determined as well as providing information on less common ways that they identified from studies included in the review.</w:t>
      </w:r>
      <w:r w:rsidR="002660AC" w:rsidRPr="0013064C">
        <w:rPr>
          <w:rFonts w:cs="Arial"/>
          <w:sz w:val="24"/>
          <w:szCs w:val="24"/>
        </w:rPr>
        <w:t xml:space="preserve"> </w:t>
      </w:r>
      <w:r w:rsidRPr="0013064C">
        <w:rPr>
          <w:rFonts w:cs="Arial"/>
          <w:sz w:val="24"/>
          <w:szCs w:val="24"/>
        </w:rPr>
        <w:t xml:space="preserve"> The methods to determine this margin discussed by </w:t>
      </w:r>
      <w:proofErr w:type="spellStart"/>
      <w:r w:rsidRPr="0013064C">
        <w:rPr>
          <w:rFonts w:cs="Arial"/>
          <w:sz w:val="24"/>
          <w:szCs w:val="24"/>
        </w:rPr>
        <w:t>Althunian</w:t>
      </w:r>
      <w:proofErr w:type="spellEnd"/>
      <w:r w:rsidR="007E6D85" w:rsidRPr="0013064C">
        <w:rPr>
          <w:rFonts w:cs="Arial"/>
          <w:sz w:val="24"/>
          <w:szCs w:val="24"/>
        </w:rPr>
        <w:t xml:space="preserve"> and identified in his literature rev</w:t>
      </w:r>
      <w:r w:rsidR="002660AC" w:rsidRPr="0013064C">
        <w:rPr>
          <w:rFonts w:cs="Arial"/>
          <w:sz w:val="24"/>
          <w:szCs w:val="24"/>
        </w:rPr>
        <w:t>i</w:t>
      </w:r>
      <w:r w:rsidR="007E6D85" w:rsidRPr="0013064C">
        <w:rPr>
          <w:rFonts w:cs="Arial"/>
          <w:sz w:val="24"/>
          <w:szCs w:val="24"/>
        </w:rPr>
        <w:t>ew</w:t>
      </w:r>
      <w:r w:rsidRPr="0013064C">
        <w:rPr>
          <w:rFonts w:cs="Arial"/>
          <w:sz w:val="24"/>
          <w:szCs w:val="24"/>
        </w:rPr>
        <w:t xml:space="preserve"> were:</w:t>
      </w:r>
    </w:p>
    <w:p w14:paraId="6AAF6E92" w14:textId="77777777" w:rsidR="006F1777" w:rsidRPr="0013064C" w:rsidRDefault="006F1777" w:rsidP="001B6832"/>
    <w:p w14:paraId="6731C88E" w14:textId="3060E8F9" w:rsidR="006F1777" w:rsidRPr="0013064C" w:rsidRDefault="006F1777" w:rsidP="001B6832">
      <w:pPr>
        <w:pStyle w:val="ReportText"/>
        <w:numPr>
          <w:ilvl w:val="0"/>
          <w:numId w:val="3"/>
        </w:numPr>
        <w:ind w:left="851" w:hanging="851"/>
        <w:jc w:val="left"/>
        <w:rPr>
          <w:rFonts w:cs="Arial"/>
          <w:sz w:val="24"/>
          <w:szCs w:val="24"/>
        </w:rPr>
      </w:pPr>
      <w:r w:rsidRPr="0013064C">
        <w:rPr>
          <w:rFonts w:cs="Arial"/>
          <w:sz w:val="24"/>
          <w:szCs w:val="24"/>
        </w:rPr>
        <w:t>Based upon historical evidence</w:t>
      </w:r>
      <w:r w:rsidR="007E6D85" w:rsidRPr="0013064C">
        <w:rPr>
          <w:rFonts w:cs="Arial"/>
          <w:sz w:val="24"/>
          <w:szCs w:val="24"/>
        </w:rPr>
        <w:t xml:space="preserve"> of M1</w:t>
      </w:r>
      <w:r w:rsidRPr="0013064C">
        <w:rPr>
          <w:rFonts w:cs="Arial"/>
          <w:sz w:val="24"/>
          <w:szCs w:val="24"/>
        </w:rPr>
        <w:t>:</w:t>
      </w:r>
    </w:p>
    <w:p w14:paraId="7BE7D08A" w14:textId="77777777" w:rsidR="006F1777" w:rsidRPr="0013064C" w:rsidRDefault="006F1777" w:rsidP="001B6832">
      <w:pPr>
        <w:pStyle w:val="ReportText"/>
        <w:numPr>
          <w:ilvl w:val="1"/>
          <w:numId w:val="3"/>
        </w:numPr>
        <w:jc w:val="left"/>
        <w:rPr>
          <w:rFonts w:cs="Arial"/>
          <w:sz w:val="24"/>
          <w:szCs w:val="24"/>
        </w:rPr>
      </w:pPr>
      <w:r w:rsidRPr="0013064C">
        <w:rPr>
          <w:rFonts w:cs="Arial"/>
          <w:i/>
          <w:sz w:val="24"/>
          <w:szCs w:val="24"/>
        </w:rPr>
        <w:t>The point effect method</w:t>
      </w:r>
      <w:r w:rsidRPr="0013064C">
        <w:rPr>
          <w:rFonts w:cs="Arial"/>
          <w:sz w:val="24"/>
          <w:szCs w:val="24"/>
        </w:rPr>
        <w:t>: Effectiveness of the active comparator is determined from the point estimate of effectiveness of the active comparator from historical evidence (either meta-analyses or a pivotal trial). Clinical judgement determines the fraction of the effectiveness of the active comparator that must be maintained by the trial drug (the ‘preserved fraction’)</w:t>
      </w:r>
    </w:p>
    <w:p w14:paraId="07383FFD" w14:textId="7D599DDA" w:rsidR="006F1777" w:rsidRPr="0013064C" w:rsidRDefault="006F1777" w:rsidP="001B6832">
      <w:pPr>
        <w:pStyle w:val="ReportText"/>
        <w:numPr>
          <w:ilvl w:val="1"/>
          <w:numId w:val="3"/>
        </w:numPr>
        <w:jc w:val="left"/>
        <w:rPr>
          <w:rFonts w:cs="Arial"/>
          <w:i/>
          <w:sz w:val="24"/>
          <w:szCs w:val="24"/>
        </w:rPr>
      </w:pPr>
      <w:r w:rsidRPr="0013064C">
        <w:rPr>
          <w:rFonts w:cs="Arial"/>
          <w:i/>
          <w:sz w:val="24"/>
          <w:szCs w:val="24"/>
        </w:rPr>
        <w:t>The fixed-margin method</w:t>
      </w:r>
    </w:p>
    <w:p w14:paraId="7209A290" w14:textId="051D9969" w:rsidR="007E6D85" w:rsidRPr="0013064C" w:rsidRDefault="007E6D85" w:rsidP="001B6832">
      <w:pPr>
        <w:pStyle w:val="ReportText"/>
        <w:numPr>
          <w:ilvl w:val="1"/>
          <w:numId w:val="3"/>
        </w:numPr>
        <w:jc w:val="left"/>
        <w:rPr>
          <w:rFonts w:cs="Arial"/>
          <w:i/>
          <w:sz w:val="24"/>
          <w:szCs w:val="24"/>
        </w:rPr>
      </w:pPr>
      <w:r w:rsidRPr="0013064C">
        <w:rPr>
          <w:rFonts w:cs="Arial"/>
          <w:i/>
          <w:sz w:val="24"/>
          <w:szCs w:val="24"/>
        </w:rPr>
        <w:t>The synthesis method</w:t>
      </w:r>
    </w:p>
    <w:p w14:paraId="13FB7826" w14:textId="77777777" w:rsidR="006F1777" w:rsidRPr="0013064C" w:rsidRDefault="006F1777" w:rsidP="001B6832">
      <w:pPr>
        <w:pStyle w:val="ReportText"/>
        <w:numPr>
          <w:ilvl w:val="0"/>
          <w:numId w:val="3"/>
        </w:numPr>
        <w:ind w:left="851" w:hanging="851"/>
        <w:jc w:val="left"/>
        <w:rPr>
          <w:rFonts w:cs="Arial"/>
          <w:sz w:val="24"/>
          <w:szCs w:val="24"/>
        </w:rPr>
      </w:pPr>
      <w:r w:rsidRPr="0013064C">
        <w:rPr>
          <w:rFonts w:cs="Arial"/>
          <w:sz w:val="24"/>
          <w:szCs w:val="24"/>
        </w:rPr>
        <w:t>Expert opinion: Clinical opinion determines the efficacy of the active comparator and the preserved fraction based upon evidence from literature</w:t>
      </w:r>
    </w:p>
    <w:p w14:paraId="313CF5DD" w14:textId="77777777" w:rsidR="006F1777" w:rsidRPr="0013064C" w:rsidRDefault="006F1777" w:rsidP="001B6832">
      <w:pPr>
        <w:pStyle w:val="ReportText"/>
        <w:numPr>
          <w:ilvl w:val="0"/>
          <w:numId w:val="3"/>
        </w:numPr>
        <w:ind w:left="851" w:hanging="851"/>
        <w:jc w:val="left"/>
        <w:rPr>
          <w:rFonts w:cs="Arial"/>
          <w:sz w:val="24"/>
          <w:szCs w:val="24"/>
        </w:rPr>
      </w:pPr>
      <w:r w:rsidRPr="0013064C">
        <w:rPr>
          <w:rFonts w:cs="Arial"/>
          <w:sz w:val="24"/>
          <w:szCs w:val="24"/>
        </w:rPr>
        <w:t>Historical margins: The margin was chosen based upon other non-inferiority trials with the same indication</w:t>
      </w:r>
    </w:p>
    <w:p w14:paraId="0AB0F1A3" w14:textId="77777777" w:rsidR="006F1777" w:rsidRPr="0013064C" w:rsidRDefault="006F1777" w:rsidP="001B6832">
      <w:pPr>
        <w:pStyle w:val="ReportText"/>
        <w:numPr>
          <w:ilvl w:val="0"/>
          <w:numId w:val="3"/>
        </w:numPr>
        <w:ind w:left="851" w:hanging="851"/>
        <w:jc w:val="left"/>
        <w:rPr>
          <w:rFonts w:cs="Arial"/>
          <w:sz w:val="24"/>
          <w:szCs w:val="24"/>
        </w:rPr>
      </w:pPr>
      <w:r w:rsidRPr="0013064C">
        <w:rPr>
          <w:rFonts w:cs="Arial"/>
          <w:sz w:val="24"/>
          <w:szCs w:val="24"/>
        </w:rPr>
        <w:t>Regulatory consultation/guideline: The margin is determined by guidelines or recommendations from regulatory bodies</w:t>
      </w:r>
    </w:p>
    <w:p w14:paraId="41329F3B" w14:textId="77777777" w:rsidR="006F1777" w:rsidRPr="0013064C" w:rsidRDefault="006F1777" w:rsidP="001B6832">
      <w:pPr>
        <w:pStyle w:val="ReportText"/>
        <w:numPr>
          <w:ilvl w:val="0"/>
          <w:numId w:val="3"/>
        </w:numPr>
        <w:ind w:left="851" w:hanging="851"/>
        <w:jc w:val="left"/>
        <w:rPr>
          <w:rFonts w:cs="Arial"/>
          <w:sz w:val="24"/>
          <w:szCs w:val="24"/>
        </w:rPr>
      </w:pPr>
      <w:r w:rsidRPr="0013064C">
        <w:rPr>
          <w:rFonts w:cs="Arial"/>
          <w:sz w:val="24"/>
          <w:szCs w:val="24"/>
        </w:rPr>
        <w:t>Efficacy of the trial drug: The margin is based upon the efficacy of the drug itself based upon previous trials.</w:t>
      </w:r>
    </w:p>
    <w:p w14:paraId="4E1369EF" w14:textId="77777777" w:rsidR="006F1777" w:rsidRPr="0013064C" w:rsidRDefault="006F1777" w:rsidP="001B6832"/>
    <w:p w14:paraId="59D3C4F2" w14:textId="22DEDB8C" w:rsidR="006F1777" w:rsidRPr="0013064C" w:rsidRDefault="006F1777" w:rsidP="001B6832">
      <w:pPr>
        <w:pStyle w:val="ReportText"/>
        <w:jc w:val="left"/>
        <w:rPr>
          <w:rFonts w:cs="Arial"/>
          <w:sz w:val="24"/>
          <w:szCs w:val="24"/>
        </w:rPr>
      </w:pPr>
      <w:r w:rsidRPr="0013064C">
        <w:rPr>
          <w:rFonts w:cs="Arial"/>
          <w:sz w:val="24"/>
          <w:szCs w:val="24"/>
        </w:rPr>
        <w:t xml:space="preserve">In both the point effect and fixed-margin methods, </w:t>
      </w:r>
      <w:proofErr w:type="spellStart"/>
      <w:r w:rsidRPr="0013064C">
        <w:rPr>
          <w:rFonts w:cs="Arial"/>
          <w:sz w:val="24"/>
          <w:szCs w:val="24"/>
        </w:rPr>
        <w:t>Althunian</w:t>
      </w:r>
      <w:proofErr w:type="spellEnd"/>
      <w:r w:rsidRPr="0013064C">
        <w:rPr>
          <w:rFonts w:cs="Arial"/>
          <w:sz w:val="24"/>
          <w:szCs w:val="24"/>
        </w:rPr>
        <w:t xml:space="preserve"> states that clinical judgement will weigh what loss in effectiveness from the trial drug is acceptable against gains in other advantages from the trial drug such as cost or safety. </w:t>
      </w:r>
      <w:r w:rsidR="002660AC" w:rsidRPr="0013064C">
        <w:rPr>
          <w:rFonts w:cs="Arial"/>
          <w:sz w:val="24"/>
          <w:szCs w:val="24"/>
        </w:rPr>
        <w:t xml:space="preserve"> </w:t>
      </w:r>
      <w:r w:rsidRPr="0013064C">
        <w:rPr>
          <w:rFonts w:cs="Arial"/>
          <w:sz w:val="24"/>
          <w:szCs w:val="24"/>
        </w:rPr>
        <w:t>This statement is based directly on the FDA guidelines published in 2016 on how to conduct non-inferiority trials.</w:t>
      </w:r>
    </w:p>
    <w:p w14:paraId="2C3770ED" w14:textId="77777777" w:rsidR="006F1777" w:rsidRPr="0013064C" w:rsidRDefault="006F1777" w:rsidP="001B6832">
      <w:pPr>
        <w:pStyle w:val="ReportText"/>
        <w:jc w:val="left"/>
        <w:rPr>
          <w:rFonts w:cs="Arial"/>
          <w:sz w:val="24"/>
          <w:szCs w:val="24"/>
        </w:rPr>
      </w:pPr>
    </w:p>
    <w:p w14:paraId="65F3F4FC" w14:textId="0C626E2C" w:rsidR="006F1777" w:rsidRPr="0013064C" w:rsidRDefault="006F1777" w:rsidP="001B6832">
      <w:pPr>
        <w:pStyle w:val="ReportText"/>
        <w:jc w:val="left"/>
        <w:rPr>
          <w:rFonts w:cs="Arial"/>
          <w:sz w:val="24"/>
          <w:szCs w:val="24"/>
        </w:rPr>
      </w:pPr>
      <w:proofErr w:type="spellStart"/>
      <w:r w:rsidRPr="0013064C">
        <w:rPr>
          <w:rFonts w:cs="Arial"/>
          <w:sz w:val="24"/>
          <w:szCs w:val="24"/>
        </w:rPr>
        <w:t>Althunian</w:t>
      </w:r>
      <w:proofErr w:type="spellEnd"/>
      <w:r w:rsidRPr="0013064C">
        <w:rPr>
          <w:rFonts w:cs="Arial"/>
          <w:sz w:val="24"/>
          <w:szCs w:val="24"/>
        </w:rPr>
        <w:t xml:space="preserve"> found that 17.2% of trials had used historical evidence to determine non-inferiority margins.</w:t>
      </w:r>
      <w:r w:rsidR="002660AC" w:rsidRPr="0013064C">
        <w:rPr>
          <w:rFonts w:cs="Arial"/>
          <w:sz w:val="24"/>
          <w:szCs w:val="24"/>
        </w:rPr>
        <w:t xml:space="preserve"> </w:t>
      </w:r>
      <w:r w:rsidRPr="0013064C">
        <w:rPr>
          <w:rFonts w:cs="Arial"/>
          <w:sz w:val="24"/>
          <w:szCs w:val="24"/>
        </w:rPr>
        <w:t xml:space="preserve"> A wide range of preserved fractions were reported (0</w:t>
      </w:r>
      <w:r w:rsidR="002660AC" w:rsidRPr="0013064C">
        <w:rPr>
          <w:rFonts w:cs="Arial"/>
          <w:sz w:val="24"/>
          <w:szCs w:val="24"/>
        </w:rPr>
        <w:t xml:space="preserve"> to </w:t>
      </w:r>
      <w:r w:rsidRPr="0013064C">
        <w:rPr>
          <w:rFonts w:cs="Arial"/>
          <w:sz w:val="24"/>
          <w:szCs w:val="24"/>
        </w:rPr>
        <w:t xml:space="preserve">85%) with a median of 50%. </w:t>
      </w:r>
      <w:r w:rsidR="002660AC" w:rsidRPr="0013064C">
        <w:rPr>
          <w:rFonts w:cs="Arial"/>
          <w:sz w:val="24"/>
          <w:szCs w:val="24"/>
        </w:rPr>
        <w:t xml:space="preserve"> </w:t>
      </w:r>
      <w:r w:rsidRPr="0013064C">
        <w:rPr>
          <w:rFonts w:cs="Arial"/>
          <w:sz w:val="24"/>
          <w:szCs w:val="24"/>
        </w:rPr>
        <w:t>The rational for the margin was not reported in over 50% of studies.</w:t>
      </w:r>
      <w:r w:rsidR="002660AC" w:rsidRPr="0013064C">
        <w:rPr>
          <w:rFonts w:cs="Arial"/>
          <w:sz w:val="24"/>
          <w:szCs w:val="24"/>
        </w:rPr>
        <w:t xml:space="preserve"> </w:t>
      </w:r>
      <w:r w:rsidRPr="0013064C">
        <w:rPr>
          <w:rFonts w:cs="Arial"/>
          <w:sz w:val="24"/>
          <w:szCs w:val="24"/>
        </w:rPr>
        <w:t xml:space="preserve"> The authors concluded that the methods for defining margins is not well reported and where methods are reported only a small proportion used historical evidence as preferred by the FDA.</w:t>
      </w:r>
    </w:p>
    <w:p w14:paraId="6CEBD4D1" w14:textId="77777777" w:rsidR="002656DB" w:rsidRPr="0013064C" w:rsidRDefault="002656DB" w:rsidP="001B6832">
      <w:pPr>
        <w:rPr>
          <w:u w:val="single"/>
        </w:rPr>
      </w:pPr>
    </w:p>
    <w:p w14:paraId="275CA445" w14:textId="0FDA4E78" w:rsidR="002656DB" w:rsidRPr="0013064C" w:rsidRDefault="002656DB" w:rsidP="001B6832">
      <w:pPr>
        <w:pStyle w:val="ReportText"/>
        <w:jc w:val="left"/>
        <w:rPr>
          <w:rFonts w:cs="Arial"/>
          <w:sz w:val="24"/>
          <w:szCs w:val="24"/>
        </w:rPr>
      </w:pPr>
      <w:proofErr w:type="spellStart"/>
      <w:r w:rsidRPr="0013064C">
        <w:rPr>
          <w:rFonts w:cs="Arial"/>
          <w:sz w:val="24"/>
          <w:szCs w:val="24"/>
        </w:rPr>
        <w:t>Aupiais</w:t>
      </w:r>
      <w:proofErr w:type="spellEnd"/>
      <w:r w:rsidR="007E6D85" w:rsidRPr="0013064C">
        <w:rPr>
          <w:rFonts w:cs="Arial"/>
          <w:sz w:val="24"/>
          <w:szCs w:val="24"/>
        </w:rPr>
        <w:t xml:space="preserve"> (2018) </w:t>
      </w:r>
      <w:r w:rsidRPr="0013064C">
        <w:rPr>
          <w:rFonts w:cs="Arial"/>
          <w:sz w:val="24"/>
          <w:szCs w:val="24"/>
        </w:rPr>
        <w:t xml:space="preserve">undertook a review of non-inferiority and equivalence trials in the context of paediatrics. Whilst finding similar issues of poor quality of studies and reporting to </w:t>
      </w:r>
      <w:proofErr w:type="spellStart"/>
      <w:r w:rsidRPr="0013064C">
        <w:rPr>
          <w:rFonts w:cs="Arial"/>
          <w:sz w:val="24"/>
          <w:szCs w:val="24"/>
        </w:rPr>
        <w:t>Althunian</w:t>
      </w:r>
      <w:proofErr w:type="spellEnd"/>
      <w:r w:rsidRPr="0013064C">
        <w:rPr>
          <w:rFonts w:cs="Arial"/>
          <w:sz w:val="24"/>
          <w:szCs w:val="24"/>
        </w:rPr>
        <w:t xml:space="preserve">, </w:t>
      </w:r>
      <w:proofErr w:type="spellStart"/>
      <w:r w:rsidRPr="0013064C">
        <w:rPr>
          <w:rFonts w:cs="Arial"/>
          <w:sz w:val="24"/>
          <w:szCs w:val="24"/>
        </w:rPr>
        <w:t>Aupias</w:t>
      </w:r>
      <w:proofErr w:type="spellEnd"/>
      <w:r w:rsidRPr="0013064C">
        <w:rPr>
          <w:rFonts w:cs="Arial"/>
          <w:sz w:val="24"/>
          <w:szCs w:val="24"/>
        </w:rPr>
        <w:t xml:space="preserve"> highlighted that</w:t>
      </w:r>
      <w:r w:rsidR="002660AC" w:rsidRPr="0013064C">
        <w:rPr>
          <w:rFonts w:cs="Arial"/>
          <w:sz w:val="24"/>
          <w:szCs w:val="24"/>
        </w:rPr>
        <w:t>,</w:t>
      </w:r>
      <w:r w:rsidRPr="0013064C">
        <w:rPr>
          <w:rFonts w:cs="Arial"/>
          <w:sz w:val="24"/>
          <w:szCs w:val="24"/>
        </w:rPr>
        <w:t xml:space="preserve"> in non-inferiority trials</w:t>
      </w:r>
      <w:r w:rsidR="002660AC" w:rsidRPr="0013064C">
        <w:rPr>
          <w:rFonts w:cs="Arial"/>
          <w:sz w:val="24"/>
          <w:szCs w:val="24"/>
        </w:rPr>
        <w:t>,</w:t>
      </w:r>
      <w:r w:rsidRPr="0013064C">
        <w:rPr>
          <w:rFonts w:cs="Arial"/>
          <w:sz w:val="24"/>
          <w:szCs w:val="24"/>
        </w:rPr>
        <w:t xml:space="preserve"> sample sizes have to be larger than superiority trials which could be challenging in paediatrics where interventions are often in small and vulnerable populations. </w:t>
      </w:r>
      <w:r w:rsidR="0026420A" w:rsidRPr="0013064C">
        <w:rPr>
          <w:rFonts w:cs="Arial"/>
          <w:sz w:val="24"/>
          <w:szCs w:val="24"/>
        </w:rPr>
        <w:t xml:space="preserve">They highlight that this may have led to the rareness of the condition influencing the non-inferiority margin as where sample size is small, non-inferiority margins tended to be larger.  </w:t>
      </w:r>
    </w:p>
    <w:p w14:paraId="62C1B20E" w14:textId="77777777" w:rsidR="007E6D85" w:rsidRPr="0013064C" w:rsidRDefault="007E6D85" w:rsidP="001B6832">
      <w:pPr>
        <w:pStyle w:val="ReportText"/>
        <w:jc w:val="left"/>
        <w:rPr>
          <w:rFonts w:cs="Arial"/>
          <w:sz w:val="24"/>
          <w:szCs w:val="24"/>
          <w:u w:val="single"/>
        </w:rPr>
      </w:pPr>
    </w:p>
    <w:p w14:paraId="7E495810" w14:textId="15C7D14C" w:rsidR="002644C1" w:rsidRPr="0013064C" w:rsidRDefault="002644C1" w:rsidP="001B6832">
      <w:pPr>
        <w:pStyle w:val="ReportText"/>
        <w:jc w:val="left"/>
        <w:rPr>
          <w:rFonts w:cs="Arial"/>
          <w:sz w:val="24"/>
          <w:szCs w:val="24"/>
        </w:rPr>
      </w:pPr>
      <w:r w:rsidRPr="0013064C">
        <w:rPr>
          <w:rFonts w:cs="Arial"/>
          <w:sz w:val="24"/>
          <w:szCs w:val="24"/>
        </w:rPr>
        <w:t xml:space="preserve">Rehal </w:t>
      </w:r>
      <w:r w:rsidR="007E6D85" w:rsidRPr="0013064C">
        <w:rPr>
          <w:rFonts w:cs="Arial"/>
          <w:sz w:val="24"/>
          <w:szCs w:val="24"/>
        </w:rPr>
        <w:t xml:space="preserve">(2016) </w:t>
      </w:r>
      <w:r w:rsidRPr="0013064C">
        <w:rPr>
          <w:rFonts w:cs="Arial"/>
          <w:sz w:val="24"/>
          <w:szCs w:val="24"/>
        </w:rPr>
        <w:t xml:space="preserve">conducted a systematic review of non-inferiority trials again looking at quality indicators in 168 trials between 2010 and 2015.  As with </w:t>
      </w:r>
      <w:proofErr w:type="spellStart"/>
      <w:r w:rsidRPr="0013064C">
        <w:rPr>
          <w:rFonts w:cs="Arial"/>
          <w:sz w:val="24"/>
          <w:szCs w:val="24"/>
        </w:rPr>
        <w:t>Apuiais</w:t>
      </w:r>
      <w:proofErr w:type="spellEnd"/>
      <w:r w:rsidRPr="0013064C">
        <w:rPr>
          <w:rFonts w:cs="Arial"/>
          <w:sz w:val="24"/>
          <w:szCs w:val="24"/>
        </w:rPr>
        <w:t xml:space="preserve"> and </w:t>
      </w:r>
      <w:proofErr w:type="spellStart"/>
      <w:r w:rsidRPr="0013064C">
        <w:rPr>
          <w:rFonts w:cs="Arial"/>
          <w:sz w:val="24"/>
          <w:szCs w:val="24"/>
        </w:rPr>
        <w:t>Althunian</w:t>
      </w:r>
      <w:proofErr w:type="spellEnd"/>
      <w:r w:rsidRPr="0013064C">
        <w:rPr>
          <w:rFonts w:cs="Arial"/>
          <w:sz w:val="24"/>
          <w:szCs w:val="24"/>
        </w:rPr>
        <w:t xml:space="preserve"> they found quality overall to be poor and in addition to the quality issues identified in these reviews Rehal reported that the majority of studies did not undertake both a per protocol and ITT analysis and the methods of dealing with loss to follow up were poorly described. </w:t>
      </w:r>
      <w:r w:rsidR="002660AC" w:rsidRPr="0013064C">
        <w:rPr>
          <w:rFonts w:cs="Arial"/>
          <w:sz w:val="24"/>
          <w:szCs w:val="24"/>
        </w:rPr>
        <w:t xml:space="preserve"> </w:t>
      </w:r>
      <w:r w:rsidRPr="0013064C">
        <w:rPr>
          <w:rFonts w:cs="Arial"/>
          <w:sz w:val="24"/>
          <w:szCs w:val="24"/>
        </w:rPr>
        <w:t xml:space="preserve">In only 57% of studies did they find </w:t>
      </w:r>
      <w:r w:rsidR="003A6CDB" w:rsidRPr="0013064C">
        <w:rPr>
          <w:rFonts w:cs="Arial"/>
          <w:sz w:val="24"/>
          <w:szCs w:val="24"/>
        </w:rPr>
        <w:t>consistency between the type 1 error rate although on</w:t>
      </w:r>
      <w:r w:rsidR="002660AC" w:rsidRPr="0013064C">
        <w:rPr>
          <w:rFonts w:cs="Arial"/>
          <w:sz w:val="24"/>
          <w:szCs w:val="24"/>
        </w:rPr>
        <w:t>ly</w:t>
      </w:r>
      <w:r w:rsidR="003A6CDB" w:rsidRPr="0013064C">
        <w:rPr>
          <w:rFonts w:cs="Arial"/>
          <w:sz w:val="24"/>
          <w:szCs w:val="24"/>
        </w:rPr>
        <w:t xml:space="preserve"> 27% used a one sided 5% significance level rather than 2.5%.</w:t>
      </w:r>
      <w:r w:rsidRPr="0013064C">
        <w:rPr>
          <w:rFonts w:cs="Arial"/>
          <w:sz w:val="24"/>
          <w:szCs w:val="24"/>
        </w:rPr>
        <w:t xml:space="preserve"> </w:t>
      </w:r>
    </w:p>
    <w:p w14:paraId="2C851AC0" w14:textId="77777777" w:rsidR="0026420A" w:rsidRPr="0013064C" w:rsidRDefault="0026420A" w:rsidP="001B6832">
      <w:pPr>
        <w:rPr>
          <w:u w:val="single"/>
        </w:rPr>
      </w:pPr>
    </w:p>
    <w:p w14:paraId="2AEA93BA" w14:textId="6FFB30C7" w:rsidR="002644C1" w:rsidRPr="0013064C" w:rsidRDefault="0026420A" w:rsidP="001B6832">
      <w:pPr>
        <w:pStyle w:val="ReportText"/>
        <w:jc w:val="left"/>
        <w:rPr>
          <w:rFonts w:cs="Arial"/>
          <w:sz w:val="24"/>
          <w:szCs w:val="24"/>
        </w:rPr>
      </w:pPr>
      <w:proofErr w:type="spellStart"/>
      <w:r w:rsidRPr="0013064C">
        <w:rPr>
          <w:rFonts w:cs="Arial"/>
          <w:sz w:val="24"/>
          <w:szCs w:val="24"/>
        </w:rPr>
        <w:t>Galdstone</w:t>
      </w:r>
      <w:proofErr w:type="spellEnd"/>
      <w:r w:rsidRPr="0013064C">
        <w:rPr>
          <w:rFonts w:cs="Arial"/>
          <w:sz w:val="24"/>
          <w:szCs w:val="24"/>
        </w:rPr>
        <w:t xml:space="preserve"> </w:t>
      </w:r>
      <w:r w:rsidR="007E6D85" w:rsidRPr="0013064C">
        <w:rPr>
          <w:rFonts w:cs="Arial"/>
          <w:sz w:val="24"/>
          <w:szCs w:val="24"/>
        </w:rPr>
        <w:t>(2014)</w:t>
      </w:r>
      <w:r w:rsidRPr="0013064C">
        <w:rPr>
          <w:rFonts w:cs="Arial"/>
          <w:sz w:val="24"/>
          <w:szCs w:val="24"/>
        </w:rPr>
        <w:t xml:space="preserve"> undertook a review of non-inferiority margins in clinical trials and estimated the likelihood of degradation of effect based upon the likelihood a treatment is actually harmful if it was declared non-inferior.  Based on a detailed statistical assessment of 112 non-inferiority trials, the authors found that the median likelihood of degradation was 56% and only two fifths had a likelihood less than 50%.  On the back of these findings, the authors propose a third margin on top of M1 and M2, </w:t>
      </w:r>
      <w:r w:rsidR="002644C1" w:rsidRPr="0013064C">
        <w:rPr>
          <w:rFonts w:cs="Arial"/>
          <w:sz w:val="24"/>
          <w:szCs w:val="24"/>
        </w:rPr>
        <w:t xml:space="preserve">a margin that means there is less than a 50% chance of a degradation of effect.  </w:t>
      </w:r>
    </w:p>
    <w:p w14:paraId="0D3585D1" w14:textId="0B56754F" w:rsidR="002644C1" w:rsidRPr="0013064C" w:rsidRDefault="002644C1" w:rsidP="001B6832">
      <w:pPr>
        <w:pStyle w:val="ReportText"/>
        <w:jc w:val="left"/>
        <w:rPr>
          <w:rFonts w:cs="Arial"/>
          <w:sz w:val="24"/>
          <w:szCs w:val="24"/>
        </w:rPr>
      </w:pPr>
    </w:p>
    <w:p w14:paraId="0EDF1C56" w14:textId="77777777" w:rsidR="002660AC" w:rsidRPr="0013064C" w:rsidRDefault="002660AC" w:rsidP="001B6832">
      <w:pPr>
        <w:pStyle w:val="ReportText"/>
        <w:jc w:val="left"/>
        <w:rPr>
          <w:rFonts w:cs="Arial"/>
          <w:sz w:val="24"/>
          <w:szCs w:val="24"/>
        </w:rPr>
      </w:pPr>
    </w:p>
    <w:p w14:paraId="79626B77" w14:textId="086C9F58" w:rsidR="003A6CDB" w:rsidRPr="0013064C" w:rsidRDefault="007E6D85" w:rsidP="001B6832">
      <w:pPr>
        <w:pStyle w:val="Heading2"/>
        <w:jc w:val="left"/>
        <w:rPr>
          <w:sz w:val="24"/>
          <w:szCs w:val="24"/>
        </w:rPr>
      </w:pPr>
      <w:bookmarkStart w:id="8" w:name="_Toc31727301"/>
      <w:r w:rsidRPr="0013064C">
        <w:rPr>
          <w:sz w:val="24"/>
          <w:szCs w:val="24"/>
        </w:rPr>
        <w:t>Methodological issues not covered in published guidelines</w:t>
      </w:r>
      <w:bookmarkEnd w:id="8"/>
    </w:p>
    <w:p w14:paraId="453F1616" w14:textId="5B31C3A5" w:rsidR="007445F2" w:rsidRPr="0013064C" w:rsidRDefault="007445F2" w:rsidP="001B6832"/>
    <w:p w14:paraId="1F2B79E1" w14:textId="27A1F17F" w:rsidR="007445F2" w:rsidRPr="0013064C" w:rsidRDefault="007445F2" w:rsidP="001B6832">
      <w:pPr>
        <w:pStyle w:val="Heading3"/>
        <w:jc w:val="left"/>
        <w:rPr>
          <w:sz w:val="24"/>
          <w:szCs w:val="24"/>
        </w:rPr>
      </w:pPr>
      <w:r w:rsidRPr="0013064C">
        <w:rPr>
          <w:sz w:val="24"/>
          <w:szCs w:val="24"/>
        </w:rPr>
        <w:t>Non-inferiority or equivalence in diagnostic testing</w:t>
      </w:r>
    </w:p>
    <w:p w14:paraId="3C66D4CF" w14:textId="77777777" w:rsidR="007445F2" w:rsidRPr="0013064C" w:rsidRDefault="007445F2" w:rsidP="001B6832"/>
    <w:p w14:paraId="4FC19B2E" w14:textId="77B16711" w:rsidR="003A6CDB" w:rsidRPr="0013064C" w:rsidRDefault="002C3D04" w:rsidP="001B6832">
      <w:pPr>
        <w:pStyle w:val="ReportText"/>
        <w:jc w:val="left"/>
        <w:rPr>
          <w:rFonts w:cs="Arial"/>
          <w:sz w:val="24"/>
          <w:szCs w:val="24"/>
        </w:rPr>
      </w:pPr>
      <w:proofErr w:type="spellStart"/>
      <w:r w:rsidRPr="0013064C">
        <w:rPr>
          <w:rFonts w:cs="Arial"/>
          <w:sz w:val="24"/>
          <w:szCs w:val="24"/>
        </w:rPr>
        <w:t>Ahn</w:t>
      </w:r>
      <w:proofErr w:type="spellEnd"/>
      <w:r w:rsidRPr="0013064C">
        <w:rPr>
          <w:rFonts w:cs="Arial"/>
          <w:sz w:val="24"/>
          <w:szCs w:val="24"/>
        </w:rPr>
        <w:t xml:space="preserve"> (2013) looked at non-inferiority and equivalence testing in radiology and had a focus on diagnostic non-inferiority testing.  The paper sets out a method to undertake non-inferiority and equivalence testing </w:t>
      </w:r>
      <w:r w:rsidR="00B773F3" w:rsidRPr="0013064C">
        <w:rPr>
          <w:rFonts w:cs="Arial"/>
          <w:sz w:val="24"/>
          <w:szCs w:val="24"/>
        </w:rPr>
        <w:t xml:space="preserve">that is the same for other technologies but </w:t>
      </w:r>
      <w:r w:rsidRPr="0013064C">
        <w:rPr>
          <w:rFonts w:cs="Arial"/>
          <w:sz w:val="24"/>
          <w:szCs w:val="24"/>
        </w:rPr>
        <w:t xml:space="preserve">looking at sensitivity or specificity of a test </w:t>
      </w:r>
      <w:r w:rsidR="00B773F3" w:rsidRPr="0013064C">
        <w:rPr>
          <w:rFonts w:cs="Arial"/>
          <w:sz w:val="24"/>
          <w:szCs w:val="24"/>
        </w:rPr>
        <w:t xml:space="preserve">as binary effectiveness outcomes. </w:t>
      </w:r>
      <w:proofErr w:type="spellStart"/>
      <w:r w:rsidR="008C2CAD" w:rsidRPr="0013064C">
        <w:rPr>
          <w:rFonts w:cs="Arial"/>
          <w:sz w:val="24"/>
          <w:szCs w:val="24"/>
        </w:rPr>
        <w:t>Ahn</w:t>
      </w:r>
      <w:proofErr w:type="spellEnd"/>
      <w:r w:rsidR="008C2CAD" w:rsidRPr="0013064C">
        <w:rPr>
          <w:rFonts w:cs="Arial"/>
          <w:sz w:val="24"/>
          <w:szCs w:val="24"/>
        </w:rPr>
        <w:t xml:space="preserve"> discusses non-inferiority tes</w:t>
      </w:r>
      <w:r w:rsidR="00A82452" w:rsidRPr="0013064C">
        <w:rPr>
          <w:rFonts w:cs="Arial"/>
          <w:sz w:val="24"/>
          <w:szCs w:val="24"/>
        </w:rPr>
        <w:t>ti</w:t>
      </w:r>
      <w:r w:rsidR="008C2CAD" w:rsidRPr="0013064C">
        <w:rPr>
          <w:rFonts w:cs="Arial"/>
          <w:sz w:val="24"/>
          <w:szCs w:val="24"/>
        </w:rPr>
        <w:t xml:space="preserve">ng </w:t>
      </w:r>
      <w:r w:rsidR="00A82452" w:rsidRPr="0013064C">
        <w:rPr>
          <w:rFonts w:cs="Arial"/>
          <w:sz w:val="24"/>
          <w:szCs w:val="24"/>
        </w:rPr>
        <w:t>with receiver operating characteristic (ROC) curve</w:t>
      </w:r>
      <w:r w:rsidR="00992160" w:rsidRPr="0013064C">
        <w:rPr>
          <w:rFonts w:cs="Arial"/>
          <w:sz w:val="24"/>
          <w:szCs w:val="24"/>
        </w:rPr>
        <w:t>s and points out that methods have been developed to statistically test for differences between curves, although it is not made clear how a non-inferiority margin would be established in such a test.</w:t>
      </w:r>
      <w:r w:rsidR="008C2CAD" w:rsidRPr="0013064C">
        <w:rPr>
          <w:rFonts w:cs="Arial"/>
          <w:sz w:val="24"/>
          <w:szCs w:val="24"/>
        </w:rPr>
        <w:t xml:space="preserve"> </w:t>
      </w:r>
      <w:r w:rsidR="002660AC" w:rsidRPr="0013064C">
        <w:rPr>
          <w:rFonts w:cs="Arial"/>
          <w:sz w:val="24"/>
          <w:szCs w:val="24"/>
        </w:rPr>
        <w:t xml:space="preserve"> </w:t>
      </w:r>
      <w:r w:rsidR="003A6CDB" w:rsidRPr="0013064C">
        <w:rPr>
          <w:rFonts w:cs="Arial"/>
          <w:sz w:val="24"/>
          <w:szCs w:val="24"/>
        </w:rPr>
        <w:t xml:space="preserve">Shan </w:t>
      </w:r>
      <w:r w:rsidR="007445F2" w:rsidRPr="0013064C">
        <w:rPr>
          <w:rFonts w:cs="Arial"/>
          <w:sz w:val="24"/>
          <w:szCs w:val="24"/>
        </w:rPr>
        <w:t xml:space="preserve">(2016) </w:t>
      </w:r>
      <w:r w:rsidR="003A6CDB" w:rsidRPr="0013064C">
        <w:rPr>
          <w:rFonts w:cs="Arial"/>
          <w:sz w:val="24"/>
          <w:szCs w:val="24"/>
        </w:rPr>
        <w:t xml:space="preserve">describes statistical approaches </w:t>
      </w:r>
      <w:r w:rsidR="007445F2" w:rsidRPr="0013064C">
        <w:rPr>
          <w:rFonts w:cs="Arial"/>
          <w:sz w:val="24"/>
          <w:szCs w:val="24"/>
        </w:rPr>
        <w:t xml:space="preserve">in testing for non-inferiority or equivalence in diagnostic tests </w:t>
      </w:r>
      <w:r w:rsidR="003A6CDB" w:rsidRPr="0013064C">
        <w:rPr>
          <w:rFonts w:cs="Arial"/>
          <w:sz w:val="24"/>
          <w:szCs w:val="24"/>
        </w:rPr>
        <w:t xml:space="preserve">where sensitivity and specificity are jointly tested for non-inferiority as opposed to what, as they describe, has traditionally been the case of testing sensitivity and specificity </w:t>
      </w:r>
      <w:r w:rsidR="007445F2" w:rsidRPr="0013064C">
        <w:rPr>
          <w:rFonts w:cs="Arial"/>
          <w:sz w:val="24"/>
          <w:szCs w:val="24"/>
        </w:rPr>
        <w:t>separately</w:t>
      </w:r>
      <w:r w:rsidR="003A6CDB" w:rsidRPr="0013064C">
        <w:rPr>
          <w:rFonts w:cs="Arial"/>
          <w:sz w:val="24"/>
          <w:szCs w:val="24"/>
        </w:rPr>
        <w:t xml:space="preserve">.  The paper </w:t>
      </w:r>
      <w:r w:rsidR="003A6CDB" w:rsidRPr="0013064C">
        <w:rPr>
          <w:rFonts w:cs="Arial"/>
          <w:sz w:val="24"/>
          <w:szCs w:val="24"/>
        </w:rPr>
        <w:lastRenderedPageBreak/>
        <w:t xml:space="preserve">is methodological in nature and summarises the </w:t>
      </w:r>
      <w:r w:rsidR="006823E2" w:rsidRPr="0013064C">
        <w:rPr>
          <w:rFonts w:cs="Arial"/>
          <w:sz w:val="24"/>
          <w:szCs w:val="24"/>
        </w:rPr>
        <w:t xml:space="preserve">statistical approaches that have been tried and proposed to jointly test for noninferiority between two diagnostic technologies or procedures. </w:t>
      </w:r>
      <w:r w:rsidR="002660AC" w:rsidRPr="0013064C">
        <w:rPr>
          <w:rFonts w:cs="Arial"/>
          <w:sz w:val="24"/>
          <w:szCs w:val="24"/>
        </w:rPr>
        <w:t xml:space="preserve"> </w:t>
      </w:r>
      <w:r w:rsidR="006823E2" w:rsidRPr="0013064C">
        <w:rPr>
          <w:rFonts w:cs="Arial"/>
          <w:sz w:val="24"/>
          <w:szCs w:val="24"/>
        </w:rPr>
        <w:t>Whilst the approaches discussed by Shen are statistically interesting, the arguments for testing for sensitivity and specificity jointly as opposed to separately are not made on statistical or interpretation grounds.</w:t>
      </w:r>
      <w:r w:rsidR="003A6CDB" w:rsidRPr="0013064C">
        <w:rPr>
          <w:rFonts w:cs="Arial"/>
          <w:sz w:val="24"/>
          <w:szCs w:val="24"/>
        </w:rPr>
        <w:t xml:space="preserve"> </w:t>
      </w:r>
    </w:p>
    <w:p w14:paraId="64226754" w14:textId="77777777" w:rsidR="0026420A" w:rsidRPr="0013064C" w:rsidRDefault="0026420A" w:rsidP="001B6832">
      <w:pPr>
        <w:pStyle w:val="ReportText"/>
        <w:jc w:val="left"/>
        <w:rPr>
          <w:rFonts w:cs="Arial"/>
          <w:sz w:val="24"/>
          <w:szCs w:val="24"/>
        </w:rPr>
      </w:pPr>
    </w:p>
    <w:p w14:paraId="289294E5" w14:textId="499CF4AA" w:rsidR="007445F2" w:rsidRPr="0013064C" w:rsidRDefault="007445F2" w:rsidP="001B6832">
      <w:pPr>
        <w:pStyle w:val="Heading3"/>
        <w:jc w:val="left"/>
        <w:rPr>
          <w:sz w:val="24"/>
          <w:szCs w:val="24"/>
        </w:rPr>
      </w:pPr>
      <w:r w:rsidRPr="0013064C">
        <w:rPr>
          <w:sz w:val="24"/>
          <w:szCs w:val="24"/>
        </w:rPr>
        <w:t>Indirect treatment comparison</w:t>
      </w:r>
    </w:p>
    <w:p w14:paraId="19484805" w14:textId="2818C832" w:rsidR="006823E2" w:rsidRPr="0013064C" w:rsidRDefault="006823E2" w:rsidP="001B6832">
      <w:pPr>
        <w:rPr>
          <w:rFonts w:ascii="Arial" w:hAnsi="Arial" w:cs="Arial"/>
          <w:u w:val="single"/>
        </w:rPr>
      </w:pPr>
    </w:p>
    <w:p w14:paraId="59C4FD74" w14:textId="4441382A" w:rsidR="00511574" w:rsidRPr="0013064C" w:rsidRDefault="00C5109F" w:rsidP="001B6832">
      <w:pPr>
        <w:pStyle w:val="ReportText"/>
        <w:jc w:val="left"/>
        <w:rPr>
          <w:rFonts w:cs="Arial"/>
          <w:sz w:val="24"/>
          <w:szCs w:val="24"/>
        </w:rPr>
      </w:pPr>
      <w:proofErr w:type="spellStart"/>
      <w:r w:rsidRPr="0013064C">
        <w:rPr>
          <w:rFonts w:cs="Arial"/>
          <w:sz w:val="24"/>
          <w:szCs w:val="24"/>
        </w:rPr>
        <w:t>Julious</w:t>
      </w:r>
      <w:proofErr w:type="spellEnd"/>
      <w:r w:rsidRPr="0013064C">
        <w:rPr>
          <w:rFonts w:cs="Arial"/>
          <w:sz w:val="24"/>
          <w:szCs w:val="24"/>
        </w:rPr>
        <w:t xml:space="preserve"> (2011) </w:t>
      </w:r>
      <w:r w:rsidR="00511574" w:rsidRPr="0013064C">
        <w:rPr>
          <w:rFonts w:cs="Arial"/>
          <w:sz w:val="24"/>
          <w:szCs w:val="24"/>
        </w:rPr>
        <w:t>undertook a statistical analysis to highlight how indirect treatment comparison</w:t>
      </w:r>
      <w:r w:rsidR="007445F2" w:rsidRPr="0013064C">
        <w:rPr>
          <w:rFonts w:cs="Arial"/>
          <w:sz w:val="24"/>
          <w:szCs w:val="24"/>
        </w:rPr>
        <w:t xml:space="preserve"> (ITC)</w:t>
      </w:r>
      <w:r w:rsidR="00511574" w:rsidRPr="0013064C">
        <w:rPr>
          <w:rFonts w:cs="Arial"/>
          <w:sz w:val="24"/>
          <w:szCs w:val="24"/>
        </w:rPr>
        <w:t xml:space="preserve"> could be used to undertake non-inferiority testing between two interventions where no direct head to head trial exists. Julius first points out that this requires assay sensitivity to exist for the </w:t>
      </w:r>
      <w:proofErr w:type="gramStart"/>
      <w:r w:rsidR="00511574" w:rsidRPr="0013064C">
        <w:rPr>
          <w:rFonts w:cs="Arial"/>
          <w:sz w:val="24"/>
          <w:szCs w:val="24"/>
        </w:rPr>
        <w:t>placebo controlled</w:t>
      </w:r>
      <w:proofErr w:type="gramEnd"/>
      <w:r w:rsidR="00511574" w:rsidRPr="0013064C">
        <w:rPr>
          <w:rFonts w:cs="Arial"/>
          <w:sz w:val="24"/>
          <w:szCs w:val="24"/>
        </w:rPr>
        <w:t xml:space="preserve"> trials that actually established effectiveness of the comparator(s), that bias is minimised by ensuring that the efficacy endpoints and patient populations are similar across trials and that the effect seen using an intervention in one trial is consistent with the effect of the same intervention seen in another trial.  Julius highlights that placebo creep can be a particular problem in ITCs</w:t>
      </w:r>
      <w:r w:rsidR="002660AC" w:rsidRPr="0013064C">
        <w:rPr>
          <w:rFonts w:cs="Arial"/>
          <w:sz w:val="24"/>
          <w:szCs w:val="24"/>
        </w:rPr>
        <w:t>,</w:t>
      </w:r>
      <w:r w:rsidR="00511574" w:rsidRPr="0013064C">
        <w:rPr>
          <w:rFonts w:cs="Arial"/>
          <w:sz w:val="24"/>
          <w:szCs w:val="24"/>
        </w:rPr>
        <w:t xml:space="preserve"> and so a more conservative M2 may be required than in a direct head to head trial.  Julius also identifies an issue with ITC where </w:t>
      </w:r>
      <w:r w:rsidR="00B442D7" w:rsidRPr="0013064C">
        <w:rPr>
          <w:rFonts w:cs="Arial"/>
          <w:sz w:val="24"/>
          <w:szCs w:val="24"/>
        </w:rPr>
        <w:t xml:space="preserve">due to the difference in time between trials included in the ITC there may be a shift in population characteristics or other treatments offered, available and used that mean that populations within the trials in the ITC may not be comparable. </w:t>
      </w:r>
    </w:p>
    <w:p w14:paraId="6B666A15" w14:textId="5FDF60BD" w:rsidR="006823E2" w:rsidRDefault="006823E2" w:rsidP="001B6832">
      <w:pPr>
        <w:pStyle w:val="ReportText"/>
        <w:jc w:val="left"/>
        <w:rPr>
          <w:rFonts w:cs="Arial"/>
        </w:rPr>
      </w:pPr>
    </w:p>
    <w:p w14:paraId="178F265A" w14:textId="69BF0F8D" w:rsidR="0013064C" w:rsidRDefault="0013064C" w:rsidP="001B6832">
      <w:pPr>
        <w:pStyle w:val="ReportText"/>
        <w:jc w:val="left"/>
        <w:rPr>
          <w:rFonts w:cs="Arial"/>
        </w:rPr>
      </w:pPr>
    </w:p>
    <w:p w14:paraId="61C491A7" w14:textId="4D14900E" w:rsidR="0013064C" w:rsidRDefault="0013064C" w:rsidP="001B6832">
      <w:pPr>
        <w:pStyle w:val="ReportText"/>
        <w:jc w:val="left"/>
        <w:rPr>
          <w:rFonts w:cs="Arial"/>
        </w:rPr>
      </w:pPr>
    </w:p>
    <w:p w14:paraId="28E74181" w14:textId="4AC8B23A" w:rsidR="0013064C" w:rsidRDefault="0013064C" w:rsidP="001B6832">
      <w:pPr>
        <w:pStyle w:val="ReportText"/>
        <w:jc w:val="left"/>
        <w:rPr>
          <w:rFonts w:cs="Arial"/>
        </w:rPr>
      </w:pPr>
    </w:p>
    <w:p w14:paraId="106A3609" w14:textId="55A7BE60" w:rsidR="0013064C" w:rsidRDefault="0013064C" w:rsidP="001B6832">
      <w:pPr>
        <w:pStyle w:val="ReportText"/>
        <w:jc w:val="left"/>
        <w:rPr>
          <w:rFonts w:cs="Arial"/>
        </w:rPr>
      </w:pPr>
    </w:p>
    <w:p w14:paraId="1F3F512D" w14:textId="5B19FF31" w:rsidR="0013064C" w:rsidRDefault="0013064C" w:rsidP="001B6832">
      <w:pPr>
        <w:pStyle w:val="ReportText"/>
        <w:jc w:val="left"/>
        <w:rPr>
          <w:rFonts w:cs="Arial"/>
        </w:rPr>
      </w:pPr>
    </w:p>
    <w:p w14:paraId="0F5FDE75" w14:textId="6BE5F84E" w:rsidR="0013064C" w:rsidRDefault="0013064C" w:rsidP="001B6832">
      <w:pPr>
        <w:pStyle w:val="ReportText"/>
        <w:jc w:val="left"/>
        <w:rPr>
          <w:rFonts w:cs="Arial"/>
        </w:rPr>
      </w:pPr>
    </w:p>
    <w:p w14:paraId="7073C550" w14:textId="24658D5E" w:rsidR="0013064C" w:rsidRDefault="0013064C" w:rsidP="001B6832">
      <w:pPr>
        <w:pStyle w:val="ReportText"/>
        <w:jc w:val="left"/>
        <w:rPr>
          <w:rFonts w:cs="Arial"/>
        </w:rPr>
      </w:pPr>
    </w:p>
    <w:p w14:paraId="66ED1A00" w14:textId="310B5D73" w:rsidR="0013064C" w:rsidRDefault="0013064C" w:rsidP="001B6832">
      <w:pPr>
        <w:pStyle w:val="ReportText"/>
        <w:jc w:val="left"/>
        <w:rPr>
          <w:rFonts w:cs="Arial"/>
        </w:rPr>
      </w:pPr>
    </w:p>
    <w:p w14:paraId="1C0CCA63" w14:textId="31BD07FD" w:rsidR="0013064C" w:rsidRDefault="0013064C" w:rsidP="001B6832">
      <w:pPr>
        <w:pStyle w:val="ReportText"/>
        <w:jc w:val="left"/>
        <w:rPr>
          <w:rFonts w:cs="Arial"/>
        </w:rPr>
      </w:pPr>
    </w:p>
    <w:p w14:paraId="3BE84E73" w14:textId="5A166DF0" w:rsidR="0013064C" w:rsidRDefault="0013064C" w:rsidP="001B6832">
      <w:pPr>
        <w:pStyle w:val="ReportText"/>
        <w:jc w:val="left"/>
        <w:rPr>
          <w:rFonts w:cs="Arial"/>
        </w:rPr>
      </w:pPr>
    </w:p>
    <w:p w14:paraId="29847A10" w14:textId="5A4B848A" w:rsidR="0013064C" w:rsidRDefault="0013064C" w:rsidP="001B6832">
      <w:pPr>
        <w:pStyle w:val="ReportText"/>
        <w:jc w:val="left"/>
        <w:rPr>
          <w:rFonts w:cs="Arial"/>
        </w:rPr>
      </w:pPr>
    </w:p>
    <w:p w14:paraId="1E287BF9" w14:textId="1228D122" w:rsidR="0013064C" w:rsidRDefault="0013064C" w:rsidP="001B6832">
      <w:pPr>
        <w:pStyle w:val="ReportText"/>
        <w:jc w:val="left"/>
        <w:rPr>
          <w:rFonts w:cs="Arial"/>
        </w:rPr>
      </w:pPr>
    </w:p>
    <w:p w14:paraId="42EBB861" w14:textId="680D2F76" w:rsidR="0013064C" w:rsidRDefault="0013064C" w:rsidP="001B6832">
      <w:pPr>
        <w:pStyle w:val="ReportText"/>
        <w:jc w:val="left"/>
        <w:rPr>
          <w:rFonts w:cs="Arial"/>
        </w:rPr>
      </w:pPr>
    </w:p>
    <w:p w14:paraId="5CE2B3FB" w14:textId="001F9687" w:rsidR="0013064C" w:rsidRDefault="0013064C" w:rsidP="001B6832">
      <w:pPr>
        <w:pStyle w:val="ReportText"/>
        <w:jc w:val="left"/>
        <w:rPr>
          <w:rFonts w:cs="Arial"/>
        </w:rPr>
      </w:pPr>
    </w:p>
    <w:p w14:paraId="56DE7390" w14:textId="2F042FD6" w:rsidR="0013064C" w:rsidRDefault="0013064C" w:rsidP="001B6832">
      <w:pPr>
        <w:pStyle w:val="ReportText"/>
        <w:jc w:val="left"/>
        <w:rPr>
          <w:rFonts w:cs="Arial"/>
        </w:rPr>
      </w:pPr>
    </w:p>
    <w:p w14:paraId="4EABE268" w14:textId="33199C6E" w:rsidR="0013064C" w:rsidRDefault="0013064C" w:rsidP="001B6832">
      <w:pPr>
        <w:pStyle w:val="ReportText"/>
        <w:jc w:val="left"/>
        <w:rPr>
          <w:rFonts w:cs="Arial"/>
        </w:rPr>
      </w:pPr>
    </w:p>
    <w:p w14:paraId="7892E9F8" w14:textId="3726D045" w:rsidR="0013064C" w:rsidRDefault="0013064C" w:rsidP="001B6832">
      <w:pPr>
        <w:pStyle w:val="ReportText"/>
        <w:jc w:val="left"/>
        <w:rPr>
          <w:rFonts w:cs="Arial"/>
        </w:rPr>
      </w:pPr>
    </w:p>
    <w:p w14:paraId="6710C699" w14:textId="099FCC21" w:rsidR="0013064C" w:rsidRDefault="0013064C" w:rsidP="001B6832">
      <w:pPr>
        <w:pStyle w:val="ReportText"/>
        <w:jc w:val="left"/>
        <w:rPr>
          <w:rFonts w:cs="Arial"/>
        </w:rPr>
      </w:pPr>
    </w:p>
    <w:p w14:paraId="5266BAB8" w14:textId="4A160F8B" w:rsidR="0013064C" w:rsidRDefault="0013064C" w:rsidP="0026420A">
      <w:pPr>
        <w:pStyle w:val="ReportText"/>
        <w:rPr>
          <w:rFonts w:cs="Arial"/>
        </w:rPr>
      </w:pPr>
    </w:p>
    <w:p w14:paraId="4B5F1426" w14:textId="1994C8AE" w:rsidR="0013064C" w:rsidRDefault="0013064C" w:rsidP="0026420A">
      <w:pPr>
        <w:pStyle w:val="ReportText"/>
        <w:rPr>
          <w:rFonts w:cs="Arial"/>
        </w:rPr>
      </w:pPr>
    </w:p>
    <w:p w14:paraId="7BE36AA3" w14:textId="5E7EEE97" w:rsidR="0013064C" w:rsidRDefault="0013064C" w:rsidP="0026420A">
      <w:pPr>
        <w:pStyle w:val="ReportText"/>
        <w:rPr>
          <w:rFonts w:cs="Arial"/>
        </w:rPr>
      </w:pPr>
    </w:p>
    <w:p w14:paraId="46940EF7" w14:textId="77777777" w:rsidR="0013064C" w:rsidRDefault="0013064C" w:rsidP="0026420A">
      <w:pPr>
        <w:pStyle w:val="ReportText"/>
        <w:rPr>
          <w:rFonts w:cs="Arial"/>
        </w:rPr>
      </w:pPr>
    </w:p>
    <w:p w14:paraId="57C3CFB3" w14:textId="77777777" w:rsidR="007B2878" w:rsidRDefault="007B2878" w:rsidP="0026420A">
      <w:pPr>
        <w:pStyle w:val="ReportText"/>
        <w:rPr>
          <w:rFonts w:cs="Arial"/>
        </w:rPr>
      </w:pPr>
    </w:p>
    <w:p w14:paraId="17D0CCFB" w14:textId="7D46F299" w:rsidR="00C60A9E" w:rsidRPr="00344469" w:rsidRDefault="00FA1218" w:rsidP="00C60A9E">
      <w:pPr>
        <w:pStyle w:val="Heading1"/>
        <w:tabs>
          <w:tab w:val="clear" w:pos="2160"/>
        </w:tabs>
        <w:ind w:left="2552" w:hanging="2552"/>
      </w:pPr>
      <w:bookmarkStart w:id="9" w:name="_Toc31727302"/>
      <w:r>
        <w:lastRenderedPageBreak/>
        <w:t>Interviews with stakeholders</w:t>
      </w:r>
      <w:bookmarkEnd w:id="9"/>
    </w:p>
    <w:p w14:paraId="77A3A4C6" w14:textId="452AE694" w:rsidR="00FA1218" w:rsidRDefault="00FA1218" w:rsidP="00FA1218">
      <w:pPr>
        <w:rPr>
          <w:rFonts w:ascii="Arial" w:hAnsi="Arial" w:cs="Arial"/>
          <w:sz w:val="22"/>
          <w:szCs w:val="20"/>
        </w:rPr>
      </w:pPr>
    </w:p>
    <w:p w14:paraId="19DC966E" w14:textId="77051275" w:rsidR="002660AC" w:rsidRDefault="002660AC" w:rsidP="00FA1218">
      <w:pPr>
        <w:rPr>
          <w:rFonts w:ascii="Arial" w:hAnsi="Arial" w:cs="Arial"/>
          <w:sz w:val="22"/>
          <w:szCs w:val="20"/>
        </w:rPr>
      </w:pPr>
    </w:p>
    <w:p w14:paraId="18A2055F" w14:textId="77777777" w:rsidR="002660AC" w:rsidRPr="0013064C" w:rsidRDefault="002660AC" w:rsidP="001B6832">
      <w:pPr>
        <w:rPr>
          <w:rFonts w:ascii="Arial" w:hAnsi="Arial" w:cs="Arial"/>
        </w:rPr>
      </w:pPr>
    </w:p>
    <w:p w14:paraId="0EA9E3B6" w14:textId="6752B601" w:rsidR="006E6218" w:rsidRPr="0013064C" w:rsidRDefault="001C714D" w:rsidP="001B6832">
      <w:pPr>
        <w:pStyle w:val="ReportText"/>
        <w:jc w:val="left"/>
        <w:rPr>
          <w:rFonts w:cs="Arial"/>
          <w:sz w:val="24"/>
          <w:szCs w:val="24"/>
        </w:rPr>
      </w:pPr>
      <w:r w:rsidRPr="0013064C">
        <w:rPr>
          <w:rFonts w:cs="Arial"/>
          <w:sz w:val="24"/>
          <w:szCs w:val="24"/>
        </w:rPr>
        <w:t>Consultations were held with NICE staff, committee members and academic staff to understand whether the findings from the international guidelines and from the literature search resonated</w:t>
      </w:r>
      <w:r w:rsidR="002660AC" w:rsidRPr="0013064C">
        <w:rPr>
          <w:rFonts w:cs="Arial"/>
          <w:sz w:val="24"/>
          <w:szCs w:val="24"/>
        </w:rPr>
        <w:t>,</w:t>
      </w:r>
      <w:r w:rsidRPr="0013064C">
        <w:rPr>
          <w:rFonts w:cs="Arial"/>
          <w:sz w:val="24"/>
          <w:szCs w:val="24"/>
        </w:rPr>
        <w:t xml:space="preserve"> and to understand the potential implications of findings on the TA and MTEP processes.  </w:t>
      </w:r>
      <w:r w:rsidR="008D1961" w:rsidRPr="0013064C">
        <w:rPr>
          <w:rFonts w:cs="Arial"/>
          <w:sz w:val="24"/>
          <w:szCs w:val="24"/>
        </w:rPr>
        <w:t xml:space="preserve">Given the lack of evidence found on how to establish non-inferiority </w:t>
      </w:r>
      <w:r w:rsidR="006E6218" w:rsidRPr="0013064C">
        <w:rPr>
          <w:rFonts w:cs="Arial"/>
          <w:sz w:val="24"/>
          <w:szCs w:val="24"/>
        </w:rPr>
        <w:t xml:space="preserve">or equivalence </w:t>
      </w:r>
      <w:r w:rsidR="008D1961" w:rsidRPr="0013064C">
        <w:rPr>
          <w:rFonts w:cs="Arial"/>
          <w:sz w:val="24"/>
          <w:szCs w:val="24"/>
        </w:rPr>
        <w:t xml:space="preserve">with a weak evidence </w:t>
      </w:r>
      <w:r w:rsidR="006E6218" w:rsidRPr="0013064C">
        <w:rPr>
          <w:rFonts w:cs="Arial"/>
          <w:sz w:val="24"/>
          <w:szCs w:val="24"/>
        </w:rPr>
        <w:t>base in terms of evidence from clinical trials, as often is the case for MTEP, views were also collected on how non-inferiority or equivalence could be established in the absence of robust clinical trial evidence.</w:t>
      </w:r>
    </w:p>
    <w:p w14:paraId="33741615" w14:textId="77777777" w:rsidR="006E6218" w:rsidRPr="0013064C" w:rsidRDefault="006E6218" w:rsidP="001B6832">
      <w:pPr>
        <w:pStyle w:val="ReportText"/>
        <w:jc w:val="left"/>
        <w:rPr>
          <w:rFonts w:cs="Arial"/>
          <w:sz w:val="24"/>
          <w:szCs w:val="24"/>
        </w:rPr>
      </w:pPr>
    </w:p>
    <w:p w14:paraId="75E8B705" w14:textId="58DCE39A" w:rsidR="00D51DB4" w:rsidRPr="0013064C" w:rsidRDefault="006E6218" w:rsidP="001B6832">
      <w:pPr>
        <w:pStyle w:val="ReportText"/>
        <w:jc w:val="left"/>
        <w:rPr>
          <w:rFonts w:cs="Arial"/>
          <w:sz w:val="24"/>
          <w:szCs w:val="24"/>
        </w:rPr>
      </w:pPr>
      <w:r w:rsidRPr="0013064C">
        <w:rPr>
          <w:rFonts w:cs="Arial"/>
          <w:sz w:val="24"/>
          <w:szCs w:val="24"/>
        </w:rPr>
        <w:t>Overall the views of those spoken to aligned with what had been identified in published guidelines and studies</w:t>
      </w:r>
      <w:r w:rsidR="002660AC" w:rsidRPr="0013064C">
        <w:rPr>
          <w:rFonts w:cs="Arial"/>
          <w:sz w:val="24"/>
          <w:szCs w:val="24"/>
        </w:rPr>
        <w:t>.  It was felt</w:t>
      </w:r>
      <w:r w:rsidR="006E3B8E" w:rsidRPr="0013064C">
        <w:rPr>
          <w:rFonts w:cs="Arial"/>
          <w:sz w:val="24"/>
          <w:szCs w:val="24"/>
        </w:rPr>
        <w:t xml:space="preserve"> that</w:t>
      </w:r>
      <w:r w:rsidR="002660AC" w:rsidRPr="0013064C">
        <w:rPr>
          <w:rFonts w:cs="Arial"/>
          <w:sz w:val="24"/>
          <w:szCs w:val="24"/>
        </w:rPr>
        <w:t>,</w:t>
      </w:r>
      <w:r w:rsidR="006E3B8E" w:rsidRPr="0013064C">
        <w:rPr>
          <w:rFonts w:cs="Arial"/>
          <w:sz w:val="24"/>
          <w:szCs w:val="24"/>
        </w:rPr>
        <w:t xml:space="preserve"> with the large literature on non-inferiority and clinical equivalence studies (powering, determining margins, study quality etc.) that exists</w:t>
      </w:r>
      <w:r w:rsidR="002660AC" w:rsidRPr="0013064C">
        <w:rPr>
          <w:rFonts w:cs="Arial"/>
          <w:sz w:val="24"/>
          <w:szCs w:val="24"/>
        </w:rPr>
        <w:t>,</w:t>
      </w:r>
      <w:r w:rsidR="006E3B8E" w:rsidRPr="0013064C">
        <w:rPr>
          <w:rFonts w:cs="Arial"/>
          <w:sz w:val="24"/>
          <w:szCs w:val="24"/>
        </w:rPr>
        <w:t xml:space="preserve"> NICE should not attempt to deviate from what has been established in this area.  There was also a call for clarity in terminology: 'non-inferiority' and 'clinical equivalence' have technical meanings associated with </w:t>
      </w:r>
      <w:r w:rsidR="002660AC" w:rsidRPr="0013064C">
        <w:rPr>
          <w:rFonts w:cs="Arial"/>
          <w:sz w:val="24"/>
          <w:szCs w:val="24"/>
        </w:rPr>
        <w:t xml:space="preserve">trial </w:t>
      </w:r>
      <w:r w:rsidR="006E3B8E" w:rsidRPr="0013064C">
        <w:rPr>
          <w:rFonts w:cs="Arial"/>
          <w:sz w:val="24"/>
          <w:szCs w:val="24"/>
        </w:rPr>
        <w:t xml:space="preserve">design/hypotheses. </w:t>
      </w:r>
      <w:r w:rsidR="002660AC" w:rsidRPr="0013064C">
        <w:rPr>
          <w:rFonts w:cs="Arial"/>
          <w:sz w:val="24"/>
          <w:szCs w:val="24"/>
        </w:rPr>
        <w:t xml:space="preserve"> </w:t>
      </w:r>
      <w:r w:rsidR="006E3B8E" w:rsidRPr="0013064C">
        <w:rPr>
          <w:rFonts w:cs="Arial"/>
          <w:sz w:val="24"/>
          <w:szCs w:val="24"/>
        </w:rPr>
        <w:t xml:space="preserve">A view was expressed that terms such as ‘equivalence' or ‘similarity' </w:t>
      </w:r>
      <w:r w:rsidR="002660AC" w:rsidRPr="0013064C">
        <w:rPr>
          <w:rFonts w:cs="Arial"/>
          <w:sz w:val="24"/>
          <w:szCs w:val="24"/>
        </w:rPr>
        <w:t xml:space="preserve">are </w:t>
      </w:r>
      <w:r w:rsidR="006E3B8E" w:rsidRPr="0013064C">
        <w:rPr>
          <w:rFonts w:cs="Arial"/>
          <w:sz w:val="24"/>
          <w:szCs w:val="24"/>
        </w:rPr>
        <w:t xml:space="preserve">being used more loosely in NICE appraisal contexts, particularly in MTEP, without clear guidelines on what these terms mean and how they should be assessed. </w:t>
      </w:r>
    </w:p>
    <w:p w14:paraId="63F4D0DB" w14:textId="77777777" w:rsidR="00D51DB4" w:rsidRPr="0013064C" w:rsidRDefault="00D51DB4" w:rsidP="00D51DB4">
      <w:pPr>
        <w:pStyle w:val="ReportText"/>
        <w:rPr>
          <w:rFonts w:cs="Arial"/>
          <w:sz w:val="24"/>
          <w:szCs w:val="24"/>
        </w:rPr>
      </w:pPr>
    </w:p>
    <w:p w14:paraId="48572C7E" w14:textId="2D148288" w:rsidR="00D51DB4" w:rsidRPr="0013064C" w:rsidRDefault="00D51DB4" w:rsidP="001B6832">
      <w:pPr>
        <w:pStyle w:val="ReportText"/>
        <w:jc w:val="left"/>
        <w:rPr>
          <w:rFonts w:cs="Arial"/>
          <w:sz w:val="24"/>
          <w:szCs w:val="24"/>
        </w:rPr>
      </w:pPr>
      <w:r w:rsidRPr="0013064C">
        <w:rPr>
          <w:rFonts w:cs="Arial"/>
          <w:sz w:val="24"/>
          <w:szCs w:val="24"/>
        </w:rPr>
        <w:t xml:space="preserve">For MTEP, an </w:t>
      </w:r>
      <w:r w:rsidR="002660AC" w:rsidRPr="0013064C">
        <w:rPr>
          <w:rFonts w:cs="Arial"/>
          <w:sz w:val="24"/>
          <w:szCs w:val="24"/>
        </w:rPr>
        <w:t xml:space="preserve">Assessment Group </w:t>
      </w:r>
      <w:r w:rsidRPr="0013064C">
        <w:rPr>
          <w:rFonts w:cs="Arial"/>
          <w:sz w:val="24"/>
          <w:szCs w:val="24"/>
        </w:rPr>
        <w:t>consultee felt that appraisals were increasingly leading to research recommendations for technology submission due to uncertainty over non-inferiority or equivalence to gather more evidence rather than recommendations to adopt or not adopt a technology.</w:t>
      </w:r>
    </w:p>
    <w:p w14:paraId="7B3C198E" w14:textId="77777777" w:rsidR="00D51DB4" w:rsidRPr="0013064C" w:rsidRDefault="00D51DB4" w:rsidP="001B6832">
      <w:pPr>
        <w:pStyle w:val="ReportText"/>
        <w:jc w:val="left"/>
        <w:rPr>
          <w:rFonts w:cs="Arial"/>
          <w:sz w:val="24"/>
          <w:szCs w:val="24"/>
        </w:rPr>
      </w:pPr>
    </w:p>
    <w:p w14:paraId="61CE3C7B" w14:textId="06E0715A" w:rsidR="006E3B8E" w:rsidRPr="0013064C" w:rsidRDefault="00D51DB4" w:rsidP="001B6832">
      <w:pPr>
        <w:pStyle w:val="ReportText"/>
        <w:jc w:val="left"/>
        <w:rPr>
          <w:rFonts w:cs="Arial"/>
          <w:sz w:val="24"/>
          <w:szCs w:val="24"/>
        </w:rPr>
      </w:pPr>
      <w:r w:rsidRPr="0013064C">
        <w:rPr>
          <w:rFonts w:cs="Arial"/>
          <w:sz w:val="24"/>
          <w:szCs w:val="24"/>
        </w:rPr>
        <w:t xml:space="preserve">One committee consultee stated </w:t>
      </w:r>
      <w:r w:rsidR="002660AC" w:rsidRPr="0013064C">
        <w:rPr>
          <w:rFonts w:cs="Arial"/>
          <w:sz w:val="24"/>
          <w:szCs w:val="24"/>
        </w:rPr>
        <w:t xml:space="preserve">that </w:t>
      </w:r>
      <w:r w:rsidRPr="0013064C">
        <w:rPr>
          <w:rFonts w:cs="Arial"/>
          <w:sz w:val="24"/>
          <w:szCs w:val="24"/>
        </w:rPr>
        <w:t xml:space="preserve">there was a need for transparency of process to develop margins, study quality and </w:t>
      </w:r>
      <w:r w:rsidR="00C32C28" w:rsidRPr="0013064C">
        <w:rPr>
          <w:rFonts w:cs="Arial"/>
          <w:sz w:val="24"/>
          <w:szCs w:val="24"/>
        </w:rPr>
        <w:t xml:space="preserve">an </w:t>
      </w:r>
      <w:r w:rsidRPr="0013064C">
        <w:rPr>
          <w:rFonts w:cs="Arial"/>
          <w:sz w:val="24"/>
          <w:szCs w:val="24"/>
        </w:rPr>
        <w:t>analysis plan</w:t>
      </w:r>
      <w:r w:rsidR="002660AC" w:rsidRPr="0013064C">
        <w:rPr>
          <w:rFonts w:cs="Arial"/>
          <w:sz w:val="24"/>
          <w:szCs w:val="24"/>
        </w:rPr>
        <w:t>,</w:t>
      </w:r>
      <w:r w:rsidRPr="0013064C">
        <w:rPr>
          <w:rFonts w:cs="Arial"/>
          <w:sz w:val="24"/>
          <w:szCs w:val="24"/>
        </w:rPr>
        <w:t xml:space="preserve"> so that these are open to review/critique by analysts (ERG/AG) and clinicians.</w:t>
      </w:r>
      <w:r w:rsidR="006E3B8E" w:rsidRPr="0013064C">
        <w:rPr>
          <w:rFonts w:cs="Arial"/>
          <w:sz w:val="24"/>
          <w:szCs w:val="24"/>
        </w:rPr>
        <w:t xml:space="preserve"> </w:t>
      </w:r>
      <w:r w:rsidRPr="0013064C">
        <w:rPr>
          <w:rFonts w:cs="Arial"/>
          <w:sz w:val="24"/>
          <w:szCs w:val="24"/>
        </w:rPr>
        <w:t xml:space="preserve"> </w:t>
      </w:r>
    </w:p>
    <w:p w14:paraId="7BF71B7C" w14:textId="3F3AABB9" w:rsidR="006E3B8E" w:rsidRPr="0013064C" w:rsidRDefault="006E3B8E" w:rsidP="001B6832">
      <w:pPr>
        <w:pStyle w:val="ReportText"/>
        <w:jc w:val="left"/>
        <w:rPr>
          <w:rFonts w:cs="Arial"/>
          <w:sz w:val="24"/>
          <w:szCs w:val="24"/>
        </w:rPr>
      </w:pPr>
    </w:p>
    <w:p w14:paraId="5EB956DB" w14:textId="4564F27B" w:rsidR="004839CE" w:rsidRPr="0013064C" w:rsidRDefault="007445F2" w:rsidP="001B6832">
      <w:pPr>
        <w:pStyle w:val="ReportText"/>
        <w:jc w:val="left"/>
        <w:rPr>
          <w:rFonts w:cs="Arial"/>
          <w:sz w:val="24"/>
          <w:szCs w:val="24"/>
        </w:rPr>
      </w:pPr>
      <w:r w:rsidRPr="0013064C">
        <w:rPr>
          <w:rFonts w:cs="Arial"/>
          <w:sz w:val="24"/>
          <w:szCs w:val="24"/>
        </w:rPr>
        <w:t xml:space="preserve">In terms of diagnostics, whilst no consultee raised that diagnostics should be considered differently in terms of non-inferiority or equivalence, concerns were raised by some consultees that joint testing of sensitivity and specificity was being seen in submissions and there was uncertainty </w:t>
      </w:r>
      <w:r w:rsidR="002660AC" w:rsidRPr="0013064C">
        <w:rPr>
          <w:rFonts w:cs="Arial"/>
          <w:sz w:val="24"/>
          <w:szCs w:val="24"/>
        </w:rPr>
        <w:t xml:space="preserve">around </w:t>
      </w:r>
      <w:r w:rsidRPr="0013064C">
        <w:rPr>
          <w:rFonts w:cs="Arial"/>
          <w:sz w:val="24"/>
          <w:szCs w:val="24"/>
        </w:rPr>
        <w:t>how this should be interpreted.</w:t>
      </w:r>
      <w:r w:rsidR="004839CE" w:rsidRPr="0013064C">
        <w:rPr>
          <w:rFonts w:cs="Arial"/>
          <w:sz w:val="24"/>
          <w:szCs w:val="24"/>
        </w:rPr>
        <w:t xml:space="preserve">  In cases where a diagnostic test is based upon categorical variables, a medical statistician suggested that Cohen’s kappa is generally used but has limitations.  For example, unless agreement is perfect, if one or two categories are small compared to the other, kappa will usually be small, no matter how good the agreement is.  This means that it may be difficult to show non-inferiority or </w:t>
      </w:r>
      <w:r w:rsidR="004839CE" w:rsidRPr="0013064C">
        <w:rPr>
          <w:rFonts w:cs="Arial"/>
          <w:sz w:val="24"/>
          <w:szCs w:val="24"/>
        </w:rPr>
        <w:lastRenderedPageBreak/>
        <w:t xml:space="preserve">equivalence with Cohen’s kappa.  For non-categorical diagnostic tests, either Passing and </w:t>
      </w:r>
      <w:proofErr w:type="spellStart"/>
      <w:r w:rsidR="004839CE" w:rsidRPr="0013064C">
        <w:rPr>
          <w:rFonts w:cs="Arial"/>
          <w:sz w:val="24"/>
          <w:szCs w:val="24"/>
        </w:rPr>
        <w:t>Bablok</w:t>
      </w:r>
      <w:proofErr w:type="spellEnd"/>
      <w:r w:rsidR="004839CE" w:rsidRPr="0013064C">
        <w:rPr>
          <w:rFonts w:cs="Arial"/>
          <w:sz w:val="24"/>
          <w:szCs w:val="24"/>
        </w:rPr>
        <w:t xml:space="preserve"> regression or Bland-Altman plots </w:t>
      </w:r>
      <w:r w:rsidR="0033785B" w:rsidRPr="0013064C">
        <w:rPr>
          <w:rFonts w:cs="Arial"/>
          <w:sz w:val="24"/>
          <w:szCs w:val="24"/>
        </w:rPr>
        <w:t xml:space="preserve">were considered </w:t>
      </w:r>
      <w:r w:rsidR="004839CE" w:rsidRPr="0013064C">
        <w:rPr>
          <w:rFonts w:cs="Arial"/>
          <w:sz w:val="24"/>
          <w:szCs w:val="24"/>
        </w:rPr>
        <w:t>acceptable approaches for testing of non-inferiority or equivalence provided that the hypothesis tests were correctly specified.  Importantly, the statistician made it clear that</w:t>
      </w:r>
      <w:r w:rsidR="00CD2B06" w:rsidRPr="0013064C">
        <w:rPr>
          <w:rFonts w:cs="Arial"/>
          <w:sz w:val="24"/>
          <w:szCs w:val="24"/>
        </w:rPr>
        <w:t>,</w:t>
      </w:r>
      <w:r w:rsidR="004839CE" w:rsidRPr="0013064C">
        <w:rPr>
          <w:rFonts w:cs="Arial"/>
          <w:sz w:val="24"/>
          <w:szCs w:val="24"/>
        </w:rPr>
        <w:t xml:space="preserve"> whatever approach was used</w:t>
      </w:r>
      <w:r w:rsidR="00CD2B06" w:rsidRPr="0013064C">
        <w:rPr>
          <w:rFonts w:cs="Arial"/>
          <w:sz w:val="24"/>
          <w:szCs w:val="24"/>
        </w:rPr>
        <w:t>,</w:t>
      </w:r>
      <w:r w:rsidR="004839CE" w:rsidRPr="0013064C">
        <w:rPr>
          <w:rFonts w:cs="Arial"/>
          <w:sz w:val="24"/>
          <w:szCs w:val="24"/>
        </w:rPr>
        <w:t xml:space="preserve"> as is the case in all non-inferiority and equivalence testing</w:t>
      </w:r>
      <w:r w:rsidR="00CD2B06" w:rsidRPr="0013064C">
        <w:rPr>
          <w:rFonts w:cs="Arial"/>
          <w:sz w:val="24"/>
          <w:szCs w:val="24"/>
        </w:rPr>
        <w:t>,</w:t>
      </w:r>
      <w:r w:rsidR="004839CE" w:rsidRPr="0013064C">
        <w:rPr>
          <w:rFonts w:cs="Arial"/>
          <w:sz w:val="24"/>
          <w:szCs w:val="24"/>
        </w:rPr>
        <w:t xml:space="preserve"> the non-inferiority margin has to be set a priori and clearly justified.  </w:t>
      </w:r>
    </w:p>
    <w:p w14:paraId="48DAAD40" w14:textId="083E7273" w:rsidR="007445F2" w:rsidRPr="0013064C" w:rsidRDefault="007445F2" w:rsidP="001B6832">
      <w:pPr>
        <w:pStyle w:val="ReportText"/>
        <w:jc w:val="left"/>
        <w:rPr>
          <w:rFonts w:cs="Arial"/>
          <w:sz w:val="24"/>
          <w:szCs w:val="24"/>
        </w:rPr>
      </w:pPr>
    </w:p>
    <w:p w14:paraId="6DDA23D2" w14:textId="3F95735D" w:rsidR="00C32C28" w:rsidRPr="0013064C" w:rsidRDefault="006E3B8E" w:rsidP="001B6832">
      <w:pPr>
        <w:pStyle w:val="ReportText"/>
        <w:jc w:val="left"/>
        <w:rPr>
          <w:rFonts w:cs="Arial"/>
          <w:sz w:val="24"/>
          <w:szCs w:val="24"/>
        </w:rPr>
      </w:pPr>
      <w:r w:rsidRPr="0013064C">
        <w:rPr>
          <w:rFonts w:cs="Arial"/>
          <w:sz w:val="24"/>
          <w:szCs w:val="24"/>
        </w:rPr>
        <w:t>A consensus opinion across consultees</w:t>
      </w:r>
      <w:r w:rsidR="00177035" w:rsidRPr="0013064C">
        <w:rPr>
          <w:rFonts w:cs="Arial"/>
          <w:sz w:val="24"/>
          <w:szCs w:val="24"/>
        </w:rPr>
        <w:t xml:space="preserve"> </w:t>
      </w:r>
      <w:r w:rsidRPr="0013064C">
        <w:rPr>
          <w:rFonts w:cs="Arial"/>
          <w:sz w:val="24"/>
          <w:szCs w:val="24"/>
        </w:rPr>
        <w:t>was that</w:t>
      </w:r>
      <w:r w:rsidR="002660AC" w:rsidRPr="0013064C">
        <w:rPr>
          <w:rFonts w:cs="Arial"/>
          <w:sz w:val="24"/>
          <w:szCs w:val="24"/>
        </w:rPr>
        <w:t>,</w:t>
      </w:r>
      <w:r w:rsidRPr="0013064C">
        <w:rPr>
          <w:rFonts w:cs="Arial"/>
          <w:sz w:val="24"/>
          <w:szCs w:val="24"/>
        </w:rPr>
        <w:t xml:space="preserve"> before an appraisal of</w:t>
      </w:r>
      <w:r w:rsidR="00177035" w:rsidRPr="0013064C">
        <w:rPr>
          <w:rFonts w:cs="Arial"/>
          <w:sz w:val="24"/>
          <w:szCs w:val="24"/>
        </w:rPr>
        <w:t xml:space="preserve"> non-inferiority or equivalence trial evidence, there should be a clear</w:t>
      </w:r>
      <w:r w:rsidR="002660AC" w:rsidRPr="0013064C">
        <w:rPr>
          <w:rFonts w:cs="Arial"/>
          <w:sz w:val="24"/>
          <w:szCs w:val="24"/>
        </w:rPr>
        <w:t>,</w:t>
      </w:r>
      <w:r w:rsidR="00177035" w:rsidRPr="0013064C">
        <w:rPr>
          <w:rFonts w:cs="Arial"/>
          <w:sz w:val="24"/>
          <w:szCs w:val="24"/>
        </w:rPr>
        <w:t xml:space="preserve"> evidence</w:t>
      </w:r>
      <w:r w:rsidR="002660AC" w:rsidRPr="0013064C">
        <w:rPr>
          <w:rFonts w:cs="Arial"/>
          <w:sz w:val="24"/>
          <w:szCs w:val="24"/>
        </w:rPr>
        <w:t>-</w:t>
      </w:r>
      <w:r w:rsidR="00177035" w:rsidRPr="0013064C">
        <w:rPr>
          <w:rFonts w:cs="Arial"/>
          <w:sz w:val="24"/>
          <w:szCs w:val="24"/>
        </w:rPr>
        <w:t xml:space="preserve">based rationale </w:t>
      </w:r>
      <w:r w:rsidR="002660AC" w:rsidRPr="0013064C">
        <w:rPr>
          <w:rFonts w:cs="Arial"/>
          <w:sz w:val="24"/>
          <w:szCs w:val="24"/>
        </w:rPr>
        <w:t xml:space="preserve">provided as to </w:t>
      </w:r>
      <w:r w:rsidR="00177035" w:rsidRPr="0013064C">
        <w:rPr>
          <w:rFonts w:cs="Arial"/>
          <w:sz w:val="24"/>
          <w:szCs w:val="24"/>
        </w:rPr>
        <w:t>why non-inferiority or equivalence should be assumed</w:t>
      </w:r>
      <w:r w:rsidR="002660AC" w:rsidRPr="0013064C">
        <w:rPr>
          <w:rFonts w:cs="Arial"/>
          <w:sz w:val="24"/>
          <w:szCs w:val="24"/>
        </w:rPr>
        <w:t>,</w:t>
      </w:r>
      <w:r w:rsidR="00177035" w:rsidRPr="0013064C">
        <w:rPr>
          <w:rFonts w:cs="Arial"/>
          <w:sz w:val="24"/>
          <w:szCs w:val="24"/>
        </w:rPr>
        <w:t xml:space="preserve"> </w:t>
      </w:r>
      <w:r w:rsidRPr="0013064C">
        <w:rPr>
          <w:rFonts w:cs="Arial"/>
          <w:sz w:val="24"/>
          <w:szCs w:val="24"/>
        </w:rPr>
        <w:t xml:space="preserve">and that non-inferiority and 'equivalence’ should be for of a range of study endpoints: safety, </w:t>
      </w:r>
      <w:proofErr w:type="spellStart"/>
      <w:r w:rsidRPr="0013064C">
        <w:rPr>
          <w:rFonts w:cs="Arial"/>
          <w:sz w:val="24"/>
          <w:szCs w:val="24"/>
        </w:rPr>
        <w:t>HRQoL</w:t>
      </w:r>
      <w:proofErr w:type="spellEnd"/>
      <w:r w:rsidRPr="0013064C">
        <w:rPr>
          <w:rFonts w:cs="Arial"/>
          <w:sz w:val="24"/>
          <w:szCs w:val="24"/>
        </w:rPr>
        <w:t xml:space="preserve"> etc</w:t>
      </w:r>
      <w:r w:rsidR="002660AC" w:rsidRPr="0013064C">
        <w:rPr>
          <w:rFonts w:cs="Arial"/>
          <w:sz w:val="24"/>
          <w:szCs w:val="24"/>
        </w:rPr>
        <w:t>.</w:t>
      </w:r>
      <w:r w:rsidRPr="0013064C">
        <w:rPr>
          <w:rFonts w:cs="Arial"/>
          <w:sz w:val="24"/>
          <w:szCs w:val="24"/>
        </w:rPr>
        <w:t xml:space="preserve"> as well as efficacy. </w:t>
      </w:r>
      <w:r w:rsidR="002660AC" w:rsidRPr="0013064C">
        <w:rPr>
          <w:rFonts w:cs="Arial"/>
          <w:sz w:val="24"/>
          <w:szCs w:val="24"/>
        </w:rPr>
        <w:t xml:space="preserve"> </w:t>
      </w:r>
      <w:r w:rsidR="00C32C28" w:rsidRPr="0013064C">
        <w:rPr>
          <w:rFonts w:cs="Arial"/>
          <w:sz w:val="24"/>
          <w:szCs w:val="24"/>
        </w:rPr>
        <w:t xml:space="preserve">This was recognised as challenging </w:t>
      </w:r>
      <w:r w:rsidR="002660AC" w:rsidRPr="0013064C">
        <w:rPr>
          <w:rFonts w:cs="Arial"/>
          <w:sz w:val="24"/>
          <w:szCs w:val="24"/>
        </w:rPr>
        <w:t xml:space="preserve">in practice, </w:t>
      </w:r>
      <w:r w:rsidR="00C32C28" w:rsidRPr="0013064C">
        <w:rPr>
          <w:rFonts w:cs="Arial"/>
          <w:sz w:val="24"/>
          <w:szCs w:val="24"/>
        </w:rPr>
        <w:t xml:space="preserve">because most non-inferiority or equivalence studies only considered one efficacy end point. </w:t>
      </w:r>
      <w:r w:rsidRPr="0013064C">
        <w:rPr>
          <w:rFonts w:cs="Arial"/>
          <w:sz w:val="24"/>
          <w:szCs w:val="24"/>
        </w:rPr>
        <w:t xml:space="preserve"> Building on this, it was felt by some consultees that the pathway in which the technology sits</w:t>
      </w:r>
      <w:r w:rsidR="00C32C28" w:rsidRPr="0013064C">
        <w:rPr>
          <w:rFonts w:cs="Arial"/>
          <w:sz w:val="24"/>
          <w:szCs w:val="24"/>
        </w:rPr>
        <w:t xml:space="preserve"> and the potential impact on all direct aspects of patient outcome</w:t>
      </w:r>
      <w:r w:rsidRPr="0013064C">
        <w:rPr>
          <w:rFonts w:cs="Arial"/>
          <w:sz w:val="24"/>
          <w:szCs w:val="24"/>
        </w:rPr>
        <w:t xml:space="preserve"> </w:t>
      </w:r>
      <w:r w:rsidR="00C32C28" w:rsidRPr="0013064C">
        <w:rPr>
          <w:rFonts w:cs="Arial"/>
          <w:sz w:val="24"/>
          <w:szCs w:val="24"/>
        </w:rPr>
        <w:t xml:space="preserve">from the technology </w:t>
      </w:r>
      <w:r w:rsidRPr="0013064C">
        <w:rPr>
          <w:rFonts w:cs="Arial"/>
          <w:sz w:val="24"/>
          <w:szCs w:val="24"/>
        </w:rPr>
        <w:t xml:space="preserve">needs to be fully understood before </w:t>
      </w:r>
      <w:r w:rsidR="00C32C28" w:rsidRPr="0013064C">
        <w:rPr>
          <w:rFonts w:cs="Arial"/>
          <w:sz w:val="24"/>
          <w:szCs w:val="24"/>
        </w:rPr>
        <w:t xml:space="preserve">even </w:t>
      </w:r>
      <w:r w:rsidRPr="0013064C">
        <w:rPr>
          <w:rFonts w:cs="Arial"/>
          <w:sz w:val="24"/>
          <w:szCs w:val="24"/>
        </w:rPr>
        <w:t xml:space="preserve">considering trial evidence.  </w:t>
      </w:r>
    </w:p>
    <w:p w14:paraId="7A9324C7" w14:textId="77777777" w:rsidR="00C32C28" w:rsidRPr="0013064C" w:rsidRDefault="00C32C28" w:rsidP="001B6832">
      <w:pPr>
        <w:pStyle w:val="ReportText"/>
        <w:jc w:val="left"/>
        <w:rPr>
          <w:rFonts w:cs="Arial"/>
          <w:sz w:val="24"/>
          <w:szCs w:val="24"/>
        </w:rPr>
      </w:pPr>
    </w:p>
    <w:p w14:paraId="552DA958" w14:textId="637780D0" w:rsidR="00C32C28" w:rsidRPr="0013064C" w:rsidRDefault="000B50F7" w:rsidP="001B6832">
      <w:pPr>
        <w:pStyle w:val="ReportText"/>
        <w:jc w:val="left"/>
        <w:rPr>
          <w:rFonts w:cs="Arial"/>
          <w:sz w:val="24"/>
          <w:szCs w:val="24"/>
        </w:rPr>
      </w:pPr>
      <w:r w:rsidRPr="0013064C">
        <w:rPr>
          <w:rFonts w:cs="Arial"/>
          <w:sz w:val="24"/>
          <w:szCs w:val="24"/>
        </w:rPr>
        <w:t xml:space="preserve">Several consultees expressed the view that </w:t>
      </w:r>
      <w:r w:rsidR="00D134C2" w:rsidRPr="0013064C">
        <w:rPr>
          <w:rFonts w:cs="Arial"/>
          <w:sz w:val="24"/>
          <w:szCs w:val="24"/>
        </w:rPr>
        <w:t xml:space="preserve">there may be no need to have robust clinical evidence of non-inferiority, or there may be flexibility in what non-inferiority margin may be considered acceptable, </w:t>
      </w:r>
      <w:r w:rsidRPr="0013064C">
        <w:rPr>
          <w:rFonts w:cs="Arial"/>
          <w:sz w:val="24"/>
          <w:szCs w:val="24"/>
        </w:rPr>
        <w:t>d</w:t>
      </w:r>
      <w:r w:rsidR="006E3B8E" w:rsidRPr="0013064C">
        <w:rPr>
          <w:rFonts w:cs="Arial"/>
          <w:sz w:val="24"/>
          <w:szCs w:val="24"/>
        </w:rPr>
        <w:t>epending on</w:t>
      </w:r>
      <w:r w:rsidR="00D134C2" w:rsidRPr="0013064C">
        <w:rPr>
          <w:rFonts w:cs="Arial"/>
          <w:sz w:val="24"/>
          <w:szCs w:val="24"/>
        </w:rPr>
        <w:t>:</w:t>
      </w:r>
    </w:p>
    <w:p w14:paraId="0075D747" w14:textId="77777777" w:rsidR="00C32C28" w:rsidRPr="0013064C" w:rsidRDefault="00C32C28" w:rsidP="001B6832">
      <w:pPr>
        <w:pStyle w:val="ReportText"/>
        <w:jc w:val="left"/>
        <w:rPr>
          <w:rFonts w:cs="Arial"/>
          <w:sz w:val="24"/>
          <w:szCs w:val="24"/>
        </w:rPr>
      </w:pPr>
    </w:p>
    <w:p w14:paraId="7D06BC4C" w14:textId="2C79F418" w:rsidR="00C32C28" w:rsidRPr="0013064C" w:rsidRDefault="00D134C2" w:rsidP="001B6832">
      <w:pPr>
        <w:pStyle w:val="ReportText"/>
        <w:numPr>
          <w:ilvl w:val="0"/>
          <w:numId w:val="10"/>
        </w:numPr>
        <w:ind w:left="851" w:hanging="851"/>
        <w:jc w:val="left"/>
        <w:rPr>
          <w:rFonts w:cs="Arial"/>
          <w:sz w:val="24"/>
          <w:szCs w:val="24"/>
        </w:rPr>
      </w:pPr>
      <w:r w:rsidRPr="0013064C">
        <w:rPr>
          <w:rFonts w:cs="Arial"/>
          <w:sz w:val="24"/>
          <w:szCs w:val="24"/>
        </w:rPr>
        <w:t>H</w:t>
      </w:r>
      <w:r w:rsidR="006E3B8E" w:rsidRPr="0013064C">
        <w:rPr>
          <w:rFonts w:cs="Arial"/>
          <w:sz w:val="24"/>
          <w:szCs w:val="24"/>
        </w:rPr>
        <w:t xml:space="preserve">ow complicated a pathway </w:t>
      </w:r>
      <w:proofErr w:type="gramStart"/>
      <w:r w:rsidR="006E3B8E" w:rsidRPr="0013064C">
        <w:rPr>
          <w:rFonts w:cs="Arial"/>
          <w:sz w:val="24"/>
          <w:szCs w:val="24"/>
        </w:rPr>
        <w:t>is</w:t>
      </w:r>
      <w:proofErr w:type="gramEnd"/>
    </w:p>
    <w:p w14:paraId="0AAD6A9B" w14:textId="5E4607A7" w:rsidR="00C32C28" w:rsidRPr="0013064C" w:rsidRDefault="00D134C2" w:rsidP="001B6832">
      <w:pPr>
        <w:pStyle w:val="ReportText"/>
        <w:numPr>
          <w:ilvl w:val="0"/>
          <w:numId w:val="10"/>
        </w:numPr>
        <w:ind w:left="851" w:hanging="851"/>
        <w:jc w:val="left"/>
        <w:rPr>
          <w:rFonts w:cs="Arial"/>
          <w:sz w:val="24"/>
          <w:szCs w:val="24"/>
        </w:rPr>
      </w:pPr>
      <w:r w:rsidRPr="0013064C">
        <w:rPr>
          <w:rFonts w:cs="Arial"/>
          <w:sz w:val="24"/>
          <w:szCs w:val="24"/>
        </w:rPr>
        <w:t>T</w:t>
      </w:r>
      <w:r w:rsidR="00816849" w:rsidRPr="0013064C">
        <w:rPr>
          <w:rFonts w:cs="Arial"/>
          <w:sz w:val="24"/>
          <w:szCs w:val="24"/>
        </w:rPr>
        <w:t xml:space="preserve">he impact </w:t>
      </w:r>
      <w:r w:rsidR="000B50F7" w:rsidRPr="0013064C">
        <w:rPr>
          <w:rFonts w:cs="Arial"/>
          <w:sz w:val="24"/>
          <w:szCs w:val="24"/>
        </w:rPr>
        <w:t>a new</w:t>
      </w:r>
      <w:r w:rsidR="00816849" w:rsidRPr="0013064C">
        <w:rPr>
          <w:rFonts w:cs="Arial"/>
          <w:sz w:val="24"/>
          <w:szCs w:val="24"/>
        </w:rPr>
        <w:t xml:space="preserve"> technology </w:t>
      </w:r>
      <w:r w:rsidR="00455975" w:rsidRPr="0013064C">
        <w:rPr>
          <w:rFonts w:cs="Arial"/>
          <w:sz w:val="24"/>
          <w:szCs w:val="24"/>
        </w:rPr>
        <w:t>will have on the pathway</w:t>
      </w:r>
    </w:p>
    <w:p w14:paraId="4EAF278D" w14:textId="07B6927F" w:rsidR="00C32C28" w:rsidRPr="0013064C" w:rsidRDefault="00D134C2" w:rsidP="001B6832">
      <w:pPr>
        <w:pStyle w:val="ReportText"/>
        <w:numPr>
          <w:ilvl w:val="0"/>
          <w:numId w:val="10"/>
        </w:numPr>
        <w:ind w:left="851" w:hanging="851"/>
        <w:jc w:val="left"/>
        <w:rPr>
          <w:rFonts w:cs="Arial"/>
          <w:sz w:val="24"/>
          <w:szCs w:val="24"/>
        </w:rPr>
      </w:pPr>
      <w:r w:rsidRPr="0013064C">
        <w:rPr>
          <w:rFonts w:cs="Arial"/>
          <w:sz w:val="24"/>
          <w:szCs w:val="24"/>
        </w:rPr>
        <w:t>T</w:t>
      </w:r>
      <w:r w:rsidR="005E4A60" w:rsidRPr="0013064C">
        <w:rPr>
          <w:rFonts w:cs="Arial"/>
          <w:sz w:val="24"/>
          <w:szCs w:val="24"/>
        </w:rPr>
        <w:t>he impact on patients if a new technology is actually inferior</w:t>
      </w:r>
    </w:p>
    <w:p w14:paraId="0E11182A" w14:textId="06176490" w:rsidR="007B2878" w:rsidRPr="0013064C" w:rsidRDefault="00D134C2" w:rsidP="001B6832">
      <w:pPr>
        <w:pStyle w:val="ReportText"/>
        <w:numPr>
          <w:ilvl w:val="0"/>
          <w:numId w:val="10"/>
        </w:numPr>
        <w:ind w:left="851" w:hanging="851"/>
        <w:jc w:val="left"/>
        <w:rPr>
          <w:rFonts w:cs="Arial"/>
          <w:sz w:val="24"/>
          <w:szCs w:val="24"/>
        </w:rPr>
      </w:pPr>
      <w:r w:rsidRPr="0013064C">
        <w:rPr>
          <w:rFonts w:cs="Arial"/>
          <w:sz w:val="24"/>
          <w:szCs w:val="24"/>
        </w:rPr>
        <w:t>T</w:t>
      </w:r>
      <w:r w:rsidR="00AD6BBF" w:rsidRPr="0013064C">
        <w:rPr>
          <w:rFonts w:cs="Arial"/>
          <w:sz w:val="24"/>
          <w:szCs w:val="24"/>
        </w:rPr>
        <w:t xml:space="preserve">he evidence on why </w:t>
      </w:r>
      <w:r w:rsidR="000B50F7" w:rsidRPr="0013064C">
        <w:rPr>
          <w:rFonts w:cs="Arial"/>
          <w:sz w:val="24"/>
          <w:szCs w:val="24"/>
        </w:rPr>
        <w:t>a new</w:t>
      </w:r>
      <w:r w:rsidR="00AD6BBF" w:rsidRPr="0013064C">
        <w:rPr>
          <w:rFonts w:cs="Arial"/>
          <w:sz w:val="24"/>
          <w:szCs w:val="24"/>
        </w:rPr>
        <w:t xml:space="preserve"> technology should </w:t>
      </w:r>
      <w:r w:rsidR="000B50F7" w:rsidRPr="0013064C">
        <w:rPr>
          <w:rFonts w:cs="Arial"/>
          <w:sz w:val="24"/>
          <w:szCs w:val="24"/>
        </w:rPr>
        <w:t xml:space="preserve">be at worst non-inferior </w:t>
      </w:r>
    </w:p>
    <w:p w14:paraId="38734F97" w14:textId="77777777" w:rsidR="00B62A6A" w:rsidRPr="00177035" w:rsidRDefault="00B62A6A" w:rsidP="006E3B8E">
      <w:pPr>
        <w:pStyle w:val="ReportText"/>
        <w:rPr>
          <w:rFonts w:cs="Arial"/>
        </w:rPr>
      </w:pPr>
    </w:p>
    <w:p w14:paraId="111B58D7" w14:textId="1C8B1DAE" w:rsidR="00177035" w:rsidRPr="00177035" w:rsidRDefault="00177035" w:rsidP="00177035">
      <w:pPr>
        <w:pStyle w:val="ReportText"/>
        <w:rPr>
          <w:rFonts w:cs="Arial"/>
        </w:rPr>
      </w:pPr>
    </w:p>
    <w:p w14:paraId="6A53CD7B" w14:textId="77777777" w:rsidR="00177035" w:rsidRDefault="00177035" w:rsidP="00177035">
      <w:pPr>
        <w:spacing w:before="100" w:beforeAutospacing="1" w:after="100" w:afterAutospacing="1"/>
        <w:rPr>
          <w:rFonts w:ascii="-webkit-standard" w:hAnsi="-webkit-standard"/>
          <w:color w:val="000000"/>
        </w:rPr>
      </w:pPr>
    </w:p>
    <w:p w14:paraId="1BE2013F" w14:textId="612BD9EA" w:rsidR="00177035" w:rsidRPr="00177035" w:rsidRDefault="00177035" w:rsidP="00177035">
      <w:pPr>
        <w:spacing w:before="100" w:beforeAutospacing="1" w:after="100" w:afterAutospacing="1"/>
        <w:rPr>
          <w:rFonts w:ascii="-webkit-standard" w:hAnsi="-webkit-standard"/>
          <w:color w:val="000000"/>
        </w:rPr>
        <w:sectPr w:rsidR="00177035" w:rsidRPr="00177035" w:rsidSect="00C60A9E">
          <w:pgSz w:w="11906" w:h="16838" w:code="9"/>
          <w:pgMar w:top="992" w:right="1440" w:bottom="1701" w:left="1440" w:header="703" w:footer="527" w:gutter="0"/>
          <w:cols w:space="708"/>
          <w:docGrid w:linePitch="360"/>
        </w:sectPr>
      </w:pPr>
    </w:p>
    <w:p w14:paraId="3BB5E70D" w14:textId="4DE9CA3F" w:rsidR="00FA1218" w:rsidRPr="00344469" w:rsidRDefault="00FA1218" w:rsidP="00FA1218">
      <w:pPr>
        <w:pStyle w:val="Heading1"/>
        <w:tabs>
          <w:tab w:val="clear" w:pos="2160"/>
        </w:tabs>
        <w:ind w:left="2552" w:hanging="2552"/>
      </w:pPr>
      <w:bookmarkStart w:id="10" w:name="_Toc31727303"/>
      <w:r>
        <w:lastRenderedPageBreak/>
        <w:t>Discussion</w:t>
      </w:r>
      <w:bookmarkEnd w:id="10"/>
    </w:p>
    <w:p w14:paraId="69D8539D" w14:textId="2B0C8F4B" w:rsidR="00FA1218" w:rsidRPr="00FA1218" w:rsidRDefault="00FA1218" w:rsidP="00FA1218"/>
    <w:p w14:paraId="23974BB0" w14:textId="77777777" w:rsidR="00FA1218" w:rsidRPr="0013064C" w:rsidRDefault="00FA1218" w:rsidP="00FA1218"/>
    <w:p w14:paraId="662BFCCF" w14:textId="77777777" w:rsidR="005F7C88" w:rsidRPr="0013064C" w:rsidRDefault="005F7C88" w:rsidP="001B6832">
      <w:pPr>
        <w:rPr>
          <w:rFonts w:cs="Arial"/>
        </w:rPr>
      </w:pPr>
    </w:p>
    <w:p w14:paraId="3621DF1B" w14:textId="4A798D07" w:rsidR="005F7C88" w:rsidRPr="0013064C" w:rsidRDefault="005F7C88" w:rsidP="001B6832">
      <w:pPr>
        <w:pStyle w:val="ReportText"/>
        <w:jc w:val="left"/>
        <w:rPr>
          <w:rFonts w:cs="Arial"/>
          <w:sz w:val="24"/>
          <w:szCs w:val="24"/>
        </w:rPr>
      </w:pPr>
      <w:r w:rsidRPr="0013064C">
        <w:rPr>
          <w:rFonts w:cs="Arial"/>
          <w:sz w:val="24"/>
          <w:szCs w:val="24"/>
        </w:rPr>
        <w:t xml:space="preserve">The evidence gathered through published guidelines on non-inferiority shows there is a clear body of evidence on how non-inferiority or equivalence trials should be conducted, including on how non-inferiority margins should be set and interpreted.  </w:t>
      </w:r>
      <w:r w:rsidR="00175A3C" w:rsidRPr="0013064C">
        <w:rPr>
          <w:rFonts w:cs="Arial"/>
          <w:sz w:val="24"/>
          <w:szCs w:val="24"/>
        </w:rPr>
        <w:t xml:space="preserve">The guidelines and evidence from literature reviews is clear that non-inferiority and equivalence trials are not an easier route to undertaking a trial compared to a superiority trial. </w:t>
      </w:r>
      <w:r w:rsidR="00D134C2" w:rsidRPr="0013064C">
        <w:rPr>
          <w:rFonts w:cs="Arial"/>
          <w:sz w:val="24"/>
          <w:szCs w:val="24"/>
        </w:rPr>
        <w:t xml:space="preserve"> </w:t>
      </w:r>
      <w:r w:rsidR="00175A3C" w:rsidRPr="0013064C">
        <w:rPr>
          <w:rFonts w:cs="Arial"/>
          <w:sz w:val="24"/>
          <w:szCs w:val="24"/>
        </w:rPr>
        <w:t>The opposite is true</w:t>
      </w:r>
      <w:r w:rsidR="00D134C2" w:rsidRPr="0013064C">
        <w:rPr>
          <w:rFonts w:cs="Arial"/>
          <w:sz w:val="24"/>
          <w:szCs w:val="24"/>
        </w:rPr>
        <w:t>:</w:t>
      </w:r>
      <w:r w:rsidR="00175A3C" w:rsidRPr="0013064C">
        <w:rPr>
          <w:rFonts w:cs="Arial"/>
          <w:sz w:val="24"/>
          <w:szCs w:val="24"/>
        </w:rPr>
        <w:t xml:space="preserve"> non-inferiority and equivalence trials are more complex in design, in delivery</w:t>
      </w:r>
      <w:r w:rsidR="00335E25" w:rsidRPr="0013064C">
        <w:rPr>
          <w:rFonts w:cs="Arial"/>
          <w:sz w:val="24"/>
          <w:szCs w:val="24"/>
        </w:rPr>
        <w:t>,</w:t>
      </w:r>
      <w:r w:rsidR="00175A3C" w:rsidRPr="0013064C">
        <w:rPr>
          <w:rFonts w:cs="Arial"/>
          <w:sz w:val="24"/>
          <w:szCs w:val="24"/>
        </w:rPr>
        <w:t xml:space="preserve"> in analysis and</w:t>
      </w:r>
      <w:r w:rsidR="00335E25" w:rsidRPr="0013064C">
        <w:rPr>
          <w:rFonts w:cs="Arial"/>
          <w:sz w:val="24"/>
          <w:szCs w:val="24"/>
        </w:rPr>
        <w:t xml:space="preserve"> in</w:t>
      </w:r>
      <w:r w:rsidR="00175A3C" w:rsidRPr="0013064C">
        <w:rPr>
          <w:rFonts w:cs="Arial"/>
          <w:sz w:val="24"/>
          <w:szCs w:val="24"/>
        </w:rPr>
        <w:t xml:space="preserve"> interpretation of results.  </w:t>
      </w:r>
    </w:p>
    <w:p w14:paraId="5E0F07F3" w14:textId="01B0D6D7" w:rsidR="00175A3C" w:rsidRPr="0013064C" w:rsidRDefault="00175A3C" w:rsidP="001B6832">
      <w:pPr>
        <w:pStyle w:val="ReportText"/>
        <w:jc w:val="left"/>
        <w:rPr>
          <w:rFonts w:cs="Arial"/>
          <w:sz w:val="24"/>
          <w:szCs w:val="24"/>
        </w:rPr>
      </w:pPr>
    </w:p>
    <w:p w14:paraId="6964E2BF" w14:textId="78ED391F" w:rsidR="00327634" w:rsidRPr="0013064C" w:rsidRDefault="00175A3C" w:rsidP="001B6832">
      <w:pPr>
        <w:pStyle w:val="ReportText"/>
        <w:jc w:val="left"/>
        <w:rPr>
          <w:rFonts w:cs="Arial"/>
          <w:sz w:val="24"/>
          <w:szCs w:val="24"/>
        </w:rPr>
      </w:pPr>
      <w:r w:rsidRPr="0013064C">
        <w:rPr>
          <w:rFonts w:cs="Arial"/>
          <w:sz w:val="24"/>
          <w:szCs w:val="24"/>
        </w:rPr>
        <w:t xml:space="preserve">Published evidence found during this process focussed on the assessment of non-inferiority and equivalence being made from a clinical trial.  </w:t>
      </w:r>
      <w:r w:rsidR="00327634" w:rsidRPr="0013064C">
        <w:rPr>
          <w:rFonts w:cs="Arial"/>
          <w:sz w:val="24"/>
          <w:szCs w:val="24"/>
        </w:rPr>
        <w:t xml:space="preserve">Nothing in the research for this </w:t>
      </w:r>
      <w:r w:rsidR="00D134C2" w:rsidRPr="0013064C">
        <w:rPr>
          <w:rFonts w:cs="Arial"/>
          <w:sz w:val="24"/>
          <w:szCs w:val="24"/>
        </w:rPr>
        <w:t xml:space="preserve">paper </w:t>
      </w:r>
      <w:r w:rsidR="00327634" w:rsidRPr="0013064C">
        <w:rPr>
          <w:rFonts w:cs="Arial"/>
          <w:sz w:val="24"/>
          <w:szCs w:val="24"/>
        </w:rPr>
        <w:t xml:space="preserve">suggested that different rules for non-inferiority or equivalence should apply to </w:t>
      </w:r>
      <w:r w:rsidR="007F5D0E" w:rsidRPr="0013064C">
        <w:rPr>
          <w:rFonts w:cs="Arial"/>
          <w:sz w:val="24"/>
          <w:szCs w:val="24"/>
        </w:rPr>
        <w:t xml:space="preserve">trials of </w:t>
      </w:r>
      <w:r w:rsidR="00327634" w:rsidRPr="0013064C">
        <w:rPr>
          <w:rFonts w:cs="Arial"/>
          <w:sz w:val="24"/>
          <w:szCs w:val="24"/>
        </w:rPr>
        <w:t xml:space="preserve">medical devices going through MTEP as opposed to other technologies being assessed through other routes.  However, consultees did point out that the evidence accepted for decision making for an MTEP submission is </w:t>
      </w:r>
      <w:r w:rsidR="00D134C2" w:rsidRPr="0013064C">
        <w:rPr>
          <w:rFonts w:cs="Arial"/>
          <w:sz w:val="24"/>
          <w:szCs w:val="24"/>
        </w:rPr>
        <w:t xml:space="preserve">often </w:t>
      </w:r>
      <w:r w:rsidR="00327634" w:rsidRPr="0013064C">
        <w:rPr>
          <w:rFonts w:cs="Arial"/>
          <w:sz w:val="24"/>
          <w:szCs w:val="24"/>
        </w:rPr>
        <w:t xml:space="preserve">of lower quality than the TA process, </w:t>
      </w:r>
      <w:r w:rsidR="00D134C2" w:rsidRPr="0013064C">
        <w:rPr>
          <w:rFonts w:cs="Arial"/>
          <w:sz w:val="24"/>
          <w:szCs w:val="24"/>
        </w:rPr>
        <w:t xml:space="preserve">frequently </w:t>
      </w:r>
      <w:r w:rsidR="00327634" w:rsidRPr="0013064C">
        <w:rPr>
          <w:rFonts w:cs="Arial"/>
          <w:sz w:val="24"/>
          <w:szCs w:val="24"/>
        </w:rPr>
        <w:t xml:space="preserve">being from non-randomised single arm observational studies reflecting the difficulty that device manufacturers can have in undertaking RCTs and also reflecting the fact that recommendations from MTEP are not binding on NHS Trusts and CCGs as opposed to a TA recommendation. </w:t>
      </w:r>
      <w:r w:rsidR="00D134C2" w:rsidRPr="0013064C">
        <w:rPr>
          <w:rFonts w:cs="Arial"/>
          <w:sz w:val="24"/>
          <w:szCs w:val="24"/>
        </w:rPr>
        <w:t xml:space="preserve"> </w:t>
      </w:r>
      <w:r w:rsidR="00327634" w:rsidRPr="0013064C">
        <w:rPr>
          <w:rFonts w:cs="Arial"/>
          <w:sz w:val="24"/>
          <w:szCs w:val="24"/>
        </w:rPr>
        <w:t xml:space="preserve">However, from a </w:t>
      </w:r>
      <w:r w:rsidR="00D134C2" w:rsidRPr="0013064C">
        <w:rPr>
          <w:rFonts w:cs="Arial"/>
          <w:sz w:val="24"/>
          <w:szCs w:val="24"/>
        </w:rPr>
        <w:t xml:space="preserve">population </w:t>
      </w:r>
      <w:r w:rsidR="00327634" w:rsidRPr="0013064C">
        <w:rPr>
          <w:rFonts w:cs="Arial"/>
          <w:sz w:val="24"/>
          <w:szCs w:val="24"/>
        </w:rPr>
        <w:t>health perspective it will not be beneficial for MTEP to be recommending devices that are inferior to existing technology on the belief that they are non-inferior or equivalent, even if the recommendation is not binding</w:t>
      </w:r>
      <w:r w:rsidR="00D134C2" w:rsidRPr="0013064C">
        <w:rPr>
          <w:rFonts w:cs="Arial"/>
          <w:sz w:val="24"/>
          <w:szCs w:val="24"/>
        </w:rPr>
        <w:t>.</w:t>
      </w:r>
    </w:p>
    <w:p w14:paraId="5E5B9CAA" w14:textId="77777777" w:rsidR="00327634" w:rsidRPr="0013064C" w:rsidRDefault="00327634" w:rsidP="001B6832">
      <w:pPr>
        <w:pStyle w:val="ReportText"/>
        <w:jc w:val="left"/>
        <w:rPr>
          <w:rFonts w:cs="Arial"/>
          <w:sz w:val="24"/>
          <w:szCs w:val="24"/>
        </w:rPr>
      </w:pPr>
    </w:p>
    <w:p w14:paraId="7B961972" w14:textId="011ABA3E" w:rsidR="00327634" w:rsidRPr="0013064C" w:rsidRDefault="00327634" w:rsidP="001B6832">
      <w:pPr>
        <w:pStyle w:val="ReportText"/>
        <w:jc w:val="left"/>
        <w:rPr>
          <w:rFonts w:cs="Arial"/>
          <w:sz w:val="24"/>
          <w:szCs w:val="24"/>
        </w:rPr>
      </w:pPr>
      <w:r w:rsidRPr="0013064C">
        <w:rPr>
          <w:rFonts w:cs="Arial"/>
          <w:sz w:val="24"/>
          <w:szCs w:val="24"/>
        </w:rPr>
        <w:t>This presents a dichotomy</w:t>
      </w:r>
      <w:r w:rsidR="00D134C2" w:rsidRPr="0013064C">
        <w:rPr>
          <w:rFonts w:cs="Arial"/>
          <w:sz w:val="24"/>
          <w:szCs w:val="24"/>
        </w:rPr>
        <w:t>.  O</w:t>
      </w:r>
      <w:r w:rsidRPr="0013064C">
        <w:rPr>
          <w:rFonts w:cs="Arial"/>
          <w:sz w:val="24"/>
          <w:szCs w:val="24"/>
        </w:rPr>
        <w:t>n one hand</w:t>
      </w:r>
      <w:r w:rsidR="00D134C2" w:rsidRPr="0013064C">
        <w:rPr>
          <w:rFonts w:cs="Arial"/>
          <w:sz w:val="24"/>
          <w:szCs w:val="24"/>
        </w:rPr>
        <w:t>,</w:t>
      </w:r>
      <w:r w:rsidRPr="0013064C">
        <w:rPr>
          <w:rFonts w:cs="Arial"/>
          <w:sz w:val="24"/>
          <w:szCs w:val="24"/>
        </w:rPr>
        <w:t xml:space="preserve"> there is no evidential reason to assess the non-inferiority or equivalence of a device differently to a drug and a public health interest to expect the same level of evidence but</w:t>
      </w:r>
      <w:r w:rsidR="00D134C2" w:rsidRPr="0013064C">
        <w:rPr>
          <w:rFonts w:cs="Arial"/>
          <w:sz w:val="24"/>
          <w:szCs w:val="24"/>
        </w:rPr>
        <w:t>,</w:t>
      </w:r>
      <w:r w:rsidRPr="0013064C">
        <w:rPr>
          <w:rFonts w:cs="Arial"/>
          <w:sz w:val="24"/>
          <w:szCs w:val="24"/>
        </w:rPr>
        <w:t xml:space="preserve"> in practice</w:t>
      </w:r>
      <w:r w:rsidR="00D134C2" w:rsidRPr="0013064C">
        <w:rPr>
          <w:rFonts w:cs="Arial"/>
          <w:sz w:val="24"/>
          <w:szCs w:val="24"/>
        </w:rPr>
        <w:t>,</w:t>
      </w:r>
      <w:r w:rsidRPr="0013064C">
        <w:rPr>
          <w:rFonts w:cs="Arial"/>
          <w:sz w:val="24"/>
          <w:szCs w:val="24"/>
        </w:rPr>
        <w:t xml:space="preserve"> devices are already assessed differently with a lower </w:t>
      </w:r>
      <w:r w:rsidR="00D134C2" w:rsidRPr="0013064C">
        <w:rPr>
          <w:rFonts w:cs="Arial"/>
          <w:sz w:val="24"/>
          <w:szCs w:val="24"/>
        </w:rPr>
        <w:t xml:space="preserve">threshold </w:t>
      </w:r>
      <w:r w:rsidRPr="0013064C">
        <w:rPr>
          <w:rFonts w:cs="Arial"/>
          <w:sz w:val="24"/>
          <w:szCs w:val="24"/>
        </w:rPr>
        <w:t xml:space="preserve">of evidence expected than for a drug. </w:t>
      </w:r>
      <w:r w:rsidR="00D134C2" w:rsidRPr="0013064C">
        <w:rPr>
          <w:rFonts w:cs="Arial"/>
          <w:sz w:val="24"/>
          <w:szCs w:val="24"/>
        </w:rPr>
        <w:t xml:space="preserve"> </w:t>
      </w:r>
      <w:r w:rsidR="007F5D0E" w:rsidRPr="0013064C">
        <w:rPr>
          <w:rFonts w:cs="Arial"/>
          <w:sz w:val="24"/>
          <w:szCs w:val="24"/>
        </w:rPr>
        <w:t>However, evidence from consultees makes it clear that more evidence than just a clinical trial should feed into any health technology assessment where non-inferiority or equivalence is being asserted.  This applies whether the technology is going through MTEP or the TA process, and the final judgement of non-inferiority or equivalence has to be made by a committee taking on board the totality of evidence.</w:t>
      </w:r>
    </w:p>
    <w:p w14:paraId="4D58F968" w14:textId="77777777" w:rsidR="00327634" w:rsidRPr="0013064C" w:rsidRDefault="00327634" w:rsidP="001B6832">
      <w:pPr>
        <w:pStyle w:val="ReportText"/>
        <w:jc w:val="left"/>
        <w:rPr>
          <w:rFonts w:cs="Arial"/>
          <w:sz w:val="24"/>
          <w:szCs w:val="24"/>
        </w:rPr>
      </w:pPr>
    </w:p>
    <w:p w14:paraId="7BFF69E4" w14:textId="14DAD2A9" w:rsidR="00175A3C" w:rsidRPr="0013064C" w:rsidRDefault="008075AB" w:rsidP="001B6832">
      <w:pPr>
        <w:pStyle w:val="ReportText"/>
        <w:jc w:val="left"/>
        <w:rPr>
          <w:rFonts w:cs="Arial"/>
          <w:sz w:val="24"/>
          <w:szCs w:val="24"/>
        </w:rPr>
      </w:pPr>
      <w:r w:rsidRPr="0013064C">
        <w:rPr>
          <w:rFonts w:cs="Arial"/>
          <w:sz w:val="24"/>
          <w:szCs w:val="24"/>
        </w:rPr>
        <w:t xml:space="preserve">Specifically, academic consultees felt </w:t>
      </w:r>
      <w:r w:rsidR="00A26A34" w:rsidRPr="0013064C">
        <w:rPr>
          <w:rFonts w:cs="Arial"/>
          <w:sz w:val="24"/>
          <w:szCs w:val="24"/>
        </w:rPr>
        <w:t>that an</w:t>
      </w:r>
      <w:r w:rsidRPr="0013064C">
        <w:rPr>
          <w:rFonts w:cs="Arial"/>
          <w:sz w:val="24"/>
          <w:szCs w:val="24"/>
        </w:rPr>
        <w:t xml:space="preserve"> assessment of </w:t>
      </w:r>
      <w:r w:rsidR="00A26A34" w:rsidRPr="0013064C">
        <w:rPr>
          <w:rFonts w:cs="Arial"/>
          <w:sz w:val="24"/>
          <w:szCs w:val="24"/>
        </w:rPr>
        <w:t xml:space="preserve">the non-inferiority or equivalence should not start with an assessment of trial evidence. </w:t>
      </w:r>
      <w:r w:rsidRPr="0013064C">
        <w:rPr>
          <w:rFonts w:cs="Arial"/>
          <w:sz w:val="24"/>
          <w:szCs w:val="24"/>
        </w:rPr>
        <w:t xml:space="preserve"> Instead, </w:t>
      </w:r>
      <w:r w:rsidR="00A26A34" w:rsidRPr="0013064C">
        <w:rPr>
          <w:rFonts w:cs="Arial"/>
          <w:sz w:val="24"/>
          <w:szCs w:val="24"/>
        </w:rPr>
        <w:t>there needs to be a rationale presented as t</w:t>
      </w:r>
      <w:r w:rsidRPr="0013064C">
        <w:rPr>
          <w:rFonts w:cs="Arial"/>
          <w:sz w:val="24"/>
          <w:szCs w:val="24"/>
        </w:rPr>
        <w:t xml:space="preserve">o why a new technology is likely to produce patient outcomes that are no worse than existing technology.  This </w:t>
      </w:r>
      <w:r w:rsidR="00A26A34" w:rsidRPr="0013064C">
        <w:rPr>
          <w:rFonts w:cs="Arial"/>
          <w:sz w:val="24"/>
          <w:szCs w:val="24"/>
        </w:rPr>
        <w:t xml:space="preserve">rationale </w:t>
      </w:r>
      <w:r w:rsidRPr="0013064C">
        <w:rPr>
          <w:rFonts w:cs="Arial"/>
          <w:sz w:val="24"/>
          <w:szCs w:val="24"/>
        </w:rPr>
        <w:t>would be</w:t>
      </w:r>
      <w:r w:rsidR="00A26A34" w:rsidRPr="0013064C">
        <w:rPr>
          <w:rFonts w:cs="Arial"/>
          <w:sz w:val="24"/>
          <w:szCs w:val="24"/>
        </w:rPr>
        <w:t xml:space="preserve"> presented</w:t>
      </w:r>
      <w:r w:rsidRPr="0013064C">
        <w:rPr>
          <w:rFonts w:cs="Arial"/>
          <w:sz w:val="24"/>
          <w:szCs w:val="24"/>
        </w:rPr>
        <w:t xml:space="preserve"> in conjunction with an assessment of where the technology sits in the patient pathway and on what outcomes and aspects of the pathway the technology is </w:t>
      </w:r>
      <w:r w:rsidRPr="0013064C">
        <w:rPr>
          <w:rFonts w:cs="Arial"/>
          <w:sz w:val="24"/>
          <w:szCs w:val="24"/>
        </w:rPr>
        <w:lastRenderedPageBreak/>
        <w:t>likely to impact</w:t>
      </w:r>
      <w:r w:rsidR="00327634" w:rsidRPr="0013064C">
        <w:rPr>
          <w:rFonts w:cs="Arial"/>
          <w:sz w:val="24"/>
          <w:szCs w:val="24"/>
        </w:rPr>
        <w:t xml:space="preserve"> and the extent of the impact if the technology is actually inferior</w:t>
      </w:r>
      <w:r w:rsidRPr="0013064C">
        <w:rPr>
          <w:rFonts w:cs="Arial"/>
          <w:sz w:val="24"/>
          <w:szCs w:val="24"/>
        </w:rPr>
        <w:t>.  It may be at this stage a decision is made by a committee that no trial evidence for inferiority is required</w:t>
      </w:r>
      <w:r w:rsidR="00D134C2" w:rsidRPr="0013064C">
        <w:rPr>
          <w:rFonts w:cs="Arial"/>
          <w:sz w:val="24"/>
          <w:szCs w:val="24"/>
        </w:rPr>
        <w:t>,</w:t>
      </w:r>
      <w:r w:rsidR="00327634" w:rsidRPr="0013064C">
        <w:rPr>
          <w:rFonts w:cs="Arial"/>
          <w:sz w:val="24"/>
          <w:szCs w:val="24"/>
        </w:rPr>
        <w:t xml:space="preserve"> although evidence of the technology in use in practice and the views of clinicians and/or patients on the use of the technology may be sought.</w:t>
      </w:r>
      <w:r w:rsidRPr="0013064C">
        <w:rPr>
          <w:rFonts w:cs="Arial"/>
          <w:sz w:val="24"/>
          <w:szCs w:val="24"/>
        </w:rPr>
        <w:t xml:space="preserve"> </w:t>
      </w:r>
    </w:p>
    <w:p w14:paraId="3DA42009" w14:textId="77777777" w:rsidR="00175A3C" w:rsidRPr="0013064C" w:rsidRDefault="00175A3C" w:rsidP="001B6832">
      <w:pPr>
        <w:rPr>
          <w:rFonts w:cs="Arial"/>
        </w:rPr>
      </w:pPr>
    </w:p>
    <w:p w14:paraId="38ADB71B" w14:textId="04BD0D7E" w:rsidR="008075AB" w:rsidRPr="0013064C" w:rsidRDefault="007F5D0E" w:rsidP="001B6832">
      <w:pPr>
        <w:pStyle w:val="ReportText"/>
        <w:jc w:val="left"/>
        <w:rPr>
          <w:rFonts w:cs="Arial"/>
          <w:sz w:val="24"/>
          <w:szCs w:val="24"/>
        </w:rPr>
      </w:pPr>
      <w:r w:rsidRPr="0013064C">
        <w:rPr>
          <w:rFonts w:cs="Arial"/>
          <w:sz w:val="24"/>
          <w:szCs w:val="24"/>
        </w:rPr>
        <w:t xml:space="preserve">Where a committee decides that evidence from a clinical non-inferiority or equivalence trial is required, then </w:t>
      </w:r>
      <w:r w:rsidR="00A26A34" w:rsidRPr="0013064C">
        <w:rPr>
          <w:rFonts w:cs="Arial"/>
          <w:sz w:val="24"/>
          <w:szCs w:val="24"/>
        </w:rPr>
        <w:t xml:space="preserve">the committee can then appraise such evidence ensuring non-inferiority or equivalence trial evidence </w:t>
      </w:r>
      <w:r w:rsidR="0047670E" w:rsidRPr="0013064C">
        <w:rPr>
          <w:rFonts w:cs="Arial"/>
          <w:sz w:val="24"/>
          <w:szCs w:val="24"/>
        </w:rPr>
        <w:t>for all patient outcomes that the committee feels could impact on</w:t>
      </w:r>
      <w:r w:rsidR="00A26A34" w:rsidRPr="0013064C">
        <w:rPr>
          <w:rFonts w:cs="Arial"/>
          <w:sz w:val="24"/>
          <w:szCs w:val="24"/>
        </w:rPr>
        <w:t xml:space="preserve"> the cost-effectiveness of </w:t>
      </w:r>
      <w:r w:rsidR="0047670E" w:rsidRPr="0013064C">
        <w:rPr>
          <w:rFonts w:cs="Arial"/>
          <w:sz w:val="24"/>
          <w:szCs w:val="24"/>
        </w:rPr>
        <w:t>the new technology.</w:t>
      </w:r>
    </w:p>
    <w:p w14:paraId="0F6BDB99" w14:textId="37D44317" w:rsidR="0047670E" w:rsidRPr="0013064C" w:rsidRDefault="0047670E" w:rsidP="001B6832">
      <w:pPr>
        <w:pStyle w:val="ReportText"/>
        <w:jc w:val="left"/>
        <w:rPr>
          <w:rFonts w:cs="Arial"/>
          <w:sz w:val="24"/>
          <w:szCs w:val="24"/>
        </w:rPr>
      </w:pPr>
    </w:p>
    <w:p w14:paraId="4E426ADC" w14:textId="77777777" w:rsidR="00B5775D" w:rsidRPr="0013064C" w:rsidRDefault="00B5775D" w:rsidP="001B6832">
      <w:pPr>
        <w:pStyle w:val="ReportText"/>
        <w:jc w:val="left"/>
        <w:rPr>
          <w:rFonts w:cs="Arial"/>
          <w:sz w:val="24"/>
          <w:szCs w:val="24"/>
        </w:rPr>
      </w:pPr>
    </w:p>
    <w:p w14:paraId="799A0B0C" w14:textId="2570435D" w:rsidR="00025DCB" w:rsidRPr="0013064C" w:rsidRDefault="0054366E" w:rsidP="001B6832">
      <w:pPr>
        <w:pStyle w:val="ReportText"/>
        <w:jc w:val="left"/>
        <w:rPr>
          <w:rFonts w:cs="Arial"/>
          <w:sz w:val="24"/>
          <w:szCs w:val="24"/>
        </w:rPr>
      </w:pPr>
      <w:r w:rsidRPr="0013064C">
        <w:rPr>
          <w:rFonts w:cs="Arial"/>
          <w:sz w:val="24"/>
          <w:szCs w:val="24"/>
        </w:rPr>
        <w:t xml:space="preserve">The choice of inferiority margin requires particular consideration by the committee as not only is it the foundation of the statistical underpinnings of the trial (non-inferiority or equivalence) but it also </w:t>
      </w:r>
      <w:r w:rsidR="00025DCB" w:rsidRPr="0013064C">
        <w:rPr>
          <w:rFonts w:cs="Arial"/>
          <w:sz w:val="24"/>
          <w:szCs w:val="24"/>
        </w:rPr>
        <w:t xml:space="preserve">can explicitly define what is considered to be an acceptable loss of effectiveness where a preserved fraction approach is used (M2).  An argument can be made that the preserved fraction approach itself is not suitable for </w:t>
      </w:r>
      <w:proofErr w:type="gramStart"/>
      <w:r w:rsidR="00025DCB" w:rsidRPr="0013064C">
        <w:rPr>
          <w:rFonts w:cs="Arial"/>
          <w:sz w:val="24"/>
          <w:szCs w:val="24"/>
        </w:rPr>
        <w:t>a</w:t>
      </w:r>
      <w:proofErr w:type="gramEnd"/>
      <w:r w:rsidR="00025DCB" w:rsidRPr="0013064C">
        <w:rPr>
          <w:rFonts w:cs="Arial"/>
          <w:sz w:val="24"/>
          <w:szCs w:val="24"/>
        </w:rPr>
        <w:t xml:space="preserve"> HTA process, as any loss in effectiveness will have an impact on patient outcomes that is important in an assessment of cost-effectiveness.  </w:t>
      </w:r>
      <w:r w:rsidR="00155F06" w:rsidRPr="0013064C">
        <w:rPr>
          <w:rFonts w:cs="Arial"/>
          <w:sz w:val="24"/>
          <w:szCs w:val="24"/>
        </w:rPr>
        <w:t>In any case, i</w:t>
      </w:r>
      <w:r w:rsidR="004A204D" w:rsidRPr="0013064C">
        <w:rPr>
          <w:rFonts w:cs="Arial"/>
          <w:sz w:val="24"/>
          <w:szCs w:val="24"/>
        </w:rPr>
        <w:t xml:space="preserve">t is doubtful that any margin that allows a lower preserved fraction because of other potential benefits of a new technology, as suggested is acceptable by the FDA, would be acceptable for HTA decision making </w:t>
      </w:r>
      <w:r w:rsidR="00155F06" w:rsidRPr="0013064C">
        <w:rPr>
          <w:rFonts w:cs="Arial"/>
          <w:sz w:val="24"/>
          <w:szCs w:val="24"/>
        </w:rPr>
        <w:t xml:space="preserve">as this implies that the margin actually represents a difference in patient outcome.  </w:t>
      </w:r>
      <w:r w:rsidR="00025DCB" w:rsidRPr="0013064C">
        <w:rPr>
          <w:rFonts w:cs="Arial"/>
          <w:sz w:val="24"/>
          <w:szCs w:val="24"/>
        </w:rPr>
        <w:t>There is</w:t>
      </w:r>
      <w:r w:rsidR="00D134C2" w:rsidRPr="0013064C">
        <w:rPr>
          <w:rFonts w:cs="Arial"/>
          <w:sz w:val="24"/>
          <w:szCs w:val="24"/>
        </w:rPr>
        <w:t>,</w:t>
      </w:r>
      <w:r w:rsidR="00025DCB" w:rsidRPr="0013064C">
        <w:rPr>
          <w:rFonts w:cs="Arial"/>
          <w:sz w:val="24"/>
          <w:szCs w:val="24"/>
        </w:rPr>
        <w:t xml:space="preserve"> therefore</w:t>
      </w:r>
      <w:r w:rsidR="00D134C2" w:rsidRPr="0013064C">
        <w:rPr>
          <w:rFonts w:cs="Arial"/>
          <w:sz w:val="24"/>
          <w:szCs w:val="24"/>
        </w:rPr>
        <w:t>,</w:t>
      </w:r>
      <w:r w:rsidR="00025DCB" w:rsidRPr="0013064C">
        <w:rPr>
          <w:rFonts w:cs="Arial"/>
          <w:sz w:val="24"/>
          <w:szCs w:val="24"/>
        </w:rPr>
        <w:t xml:space="preserve"> a rationale that for HTA the correct approach to setting a margin should always follow the fixed-margin method where M1 is determined by the lower bound of the current technologies effect against placebo, preferably identified from published trials, and M2 should always be set to zero.  In practice, the committee will always have to appraise how the non-inferior</w:t>
      </w:r>
      <w:r w:rsidR="00C47A7B" w:rsidRPr="0013064C">
        <w:rPr>
          <w:rFonts w:cs="Arial"/>
          <w:sz w:val="24"/>
          <w:szCs w:val="24"/>
        </w:rPr>
        <w:t>i</w:t>
      </w:r>
      <w:r w:rsidR="00025DCB" w:rsidRPr="0013064C">
        <w:rPr>
          <w:rFonts w:cs="Arial"/>
          <w:sz w:val="24"/>
          <w:szCs w:val="24"/>
        </w:rPr>
        <w:t>ty bounds have been set and be satisfied that the</w:t>
      </w:r>
      <w:r w:rsidR="00C47A7B" w:rsidRPr="0013064C">
        <w:rPr>
          <w:rFonts w:cs="Arial"/>
          <w:sz w:val="24"/>
          <w:szCs w:val="24"/>
        </w:rPr>
        <w:t xml:space="preserve"> bound genuinely represents</w:t>
      </w:r>
      <w:r w:rsidR="00C249CE" w:rsidRPr="0013064C">
        <w:rPr>
          <w:rFonts w:cs="Arial"/>
          <w:sz w:val="24"/>
          <w:szCs w:val="24"/>
        </w:rPr>
        <w:t xml:space="preserve"> what the committee considers to be</w:t>
      </w:r>
      <w:r w:rsidR="00B5775D" w:rsidRPr="0013064C">
        <w:rPr>
          <w:rFonts w:cs="Arial"/>
          <w:sz w:val="24"/>
          <w:szCs w:val="24"/>
        </w:rPr>
        <w:t xml:space="preserve"> a</w:t>
      </w:r>
      <w:r w:rsidR="00C249CE" w:rsidRPr="0013064C">
        <w:rPr>
          <w:rFonts w:cs="Arial"/>
          <w:sz w:val="24"/>
          <w:szCs w:val="24"/>
        </w:rPr>
        <w:t xml:space="preserve"> </w:t>
      </w:r>
      <w:r w:rsidR="00B5775D" w:rsidRPr="0013064C">
        <w:rPr>
          <w:rFonts w:cs="Arial"/>
          <w:sz w:val="24"/>
          <w:szCs w:val="24"/>
        </w:rPr>
        <w:t>clinically insignificant difference.</w:t>
      </w:r>
    </w:p>
    <w:p w14:paraId="0832E3CA" w14:textId="33323832" w:rsidR="00025DCB" w:rsidRPr="0013064C" w:rsidRDefault="00025DCB" w:rsidP="001B6832">
      <w:pPr>
        <w:pStyle w:val="ReportText"/>
        <w:jc w:val="left"/>
        <w:rPr>
          <w:rFonts w:cs="Arial"/>
          <w:sz w:val="24"/>
          <w:szCs w:val="24"/>
        </w:rPr>
      </w:pPr>
    </w:p>
    <w:p w14:paraId="303D726E" w14:textId="77777777" w:rsidR="00DF720C" w:rsidRPr="0013064C" w:rsidRDefault="000D19E6" w:rsidP="001B6832">
      <w:pPr>
        <w:pStyle w:val="ReportText"/>
        <w:jc w:val="left"/>
        <w:rPr>
          <w:rFonts w:cs="Arial"/>
          <w:sz w:val="24"/>
          <w:szCs w:val="24"/>
        </w:rPr>
      </w:pPr>
      <w:r w:rsidRPr="0013064C">
        <w:rPr>
          <w:rFonts w:cs="Arial"/>
          <w:sz w:val="24"/>
          <w:szCs w:val="24"/>
        </w:rPr>
        <w:t>In cases where no non-inferiority trial exists but evidence from</w:t>
      </w:r>
      <w:r w:rsidR="00F97339" w:rsidRPr="0013064C">
        <w:rPr>
          <w:rFonts w:cs="Arial"/>
          <w:sz w:val="24"/>
          <w:szCs w:val="24"/>
        </w:rPr>
        <w:t xml:space="preserve"> a</w:t>
      </w:r>
      <w:r w:rsidRPr="0013064C">
        <w:rPr>
          <w:rFonts w:cs="Arial"/>
          <w:sz w:val="24"/>
          <w:szCs w:val="24"/>
        </w:rPr>
        <w:t xml:space="preserve"> superiority trial is available, there is no methodological reason why the data from </w:t>
      </w:r>
      <w:r w:rsidR="00F97339" w:rsidRPr="0013064C">
        <w:rPr>
          <w:rFonts w:cs="Arial"/>
          <w:sz w:val="24"/>
          <w:szCs w:val="24"/>
        </w:rPr>
        <w:t xml:space="preserve">the </w:t>
      </w:r>
      <w:r w:rsidRPr="0013064C">
        <w:rPr>
          <w:rFonts w:cs="Arial"/>
          <w:sz w:val="24"/>
          <w:szCs w:val="24"/>
        </w:rPr>
        <w:t>superiority trial cannot be used to test for non-inferiority</w:t>
      </w:r>
      <w:r w:rsidR="003565F8" w:rsidRPr="0013064C">
        <w:rPr>
          <w:rFonts w:cs="Arial"/>
          <w:sz w:val="24"/>
          <w:szCs w:val="24"/>
        </w:rPr>
        <w:t xml:space="preserve"> or equivalence</w:t>
      </w:r>
      <w:r w:rsidR="007B03E9" w:rsidRPr="0013064C">
        <w:rPr>
          <w:rFonts w:cs="Arial"/>
          <w:sz w:val="24"/>
          <w:szCs w:val="24"/>
        </w:rPr>
        <w:t xml:space="preserve"> – it is a case of how inference from the trial data is drawn</w:t>
      </w:r>
      <w:r w:rsidRPr="0013064C">
        <w:rPr>
          <w:rFonts w:cs="Arial"/>
          <w:sz w:val="24"/>
          <w:szCs w:val="24"/>
        </w:rPr>
        <w:t>.</w:t>
      </w:r>
      <w:r w:rsidR="007B03E9" w:rsidRPr="0013064C">
        <w:rPr>
          <w:rFonts w:cs="Arial"/>
          <w:sz w:val="24"/>
          <w:szCs w:val="24"/>
        </w:rPr>
        <w:t xml:space="preserve"> </w:t>
      </w:r>
      <w:r w:rsidRPr="0013064C">
        <w:rPr>
          <w:rFonts w:cs="Arial"/>
          <w:sz w:val="24"/>
          <w:szCs w:val="24"/>
        </w:rPr>
        <w:t xml:space="preserve"> </w:t>
      </w:r>
    </w:p>
    <w:p w14:paraId="7020AE51" w14:textId="77777777" w:rsidR="00DE6300" w:rsidRPr="0013064C" w:rsidRDefault="00605238" w:rsidP="001B6832">
      <w:pPr>
        <w:pStyle w:val="ReportText"/>
        <w:jc w:val="left"/>
        <w:rPr>
          <w:rFonts w:cs="Arial"/>
          <w:sz w:val="24"/>
          <w:szCs w:val="24"/>
        </w:rPr>
      </w:pPr>
      <w:r w:rsidRPr="0013064C">
        <w:rPr>
          <w:rFonts w:cs="Arial"/>
          <w:sz w:val="24"/>
          <w:szCs w:val="24"/>
        </w:rPr>
        <w:t xml:space="preserve">A superiority test requires the null hypothesis that a new technology is the same as an existing technology to be rejected which becomes increasingly less likely as sample size reduces.  Therefore, if the failure to reject the null hypothesis of a superiority test is to be used as evidence that a new technology is the same as an existing technology, non-inferiority and equivalence trials would be replaced with very small superiority trials. As such, in no circumstances should a failure to provide statistical evidence of superiority for a new technology over an existing technology be used as statistical evidence that the new technology is the same as, similar to or equivalent to an existing technology.  </w:t>
      </w:r>
    </w:p>
    <w:p w14:paraId="283BA265" w14:textId="77777777" w:rsidR="00DE6300" w:rsidRPr="0013064C" w:rsidRDefault="00DE6300" w:rsidP="001B6832">
      <w:pPr>
        <w:pStyle w:val="ReportText"/>
        <w:jc w:val="left"/>
        <w:rPr>
          <w:rFonts w:cs="Arial"/>
          <w:sz w:val="24"/>
          <w:szCs w:val="24"/>
        </w:rPr>
      </w:pPr>
    </w:p>
    <w:p w14:paraId="5B3C7F7F" w14:textId="11F8E6DE" w:rsidR="00605238" w:rsidRPr="0013064C" w:rsidRDefault="00DE6300" w:rsidP="001B6832">
      <w:pPr>
        <w:pStyle w:val="ReportText"/>
        <w:jc w:val="left"/>
        <w:rPr>
          <w:rFonts w:cs="Arial"/>
          <w:sz w:val="24"/>
          <w:szCs w:val="24"/>
        </w:rPr>
      </w:pPr>
      <w:r w:rsidRPr="0013064C">
        <w:rPr>
          <w:rFonts w:cs="Arial"/>
          <w:sz w:val="24"/>
          <w:szCs w:val="24"/>
        </w:rPr>
        <w:lastRenderedPageBreak/>
        <w:t>Whilst failure to show superiority in a superiority trial should not be interpreted as non-inferiority or equivalence</w:t>
      </w:r>
      <w:r w:rsidR="00605238" w:rsidRPr="0013064C">
        <w:rPr>
          <w:rFonts w:cs="Arial"/>
          <w:sz w:val="24"/>
          <w:szCs w:val="24"/>
        </w:rPr>
        <w:t xml:space="preserve">, the data from the superiority trial can be used to </w:t>
      </w:r>
      <w:r w:rsidR="00AD513B" w:rsidRPr="0013064C">
        <w:rPr>
          <w:rFonts w:cs="Arial"/>
          <w:sz w:val="24"/>
          <w:szCs w:val="24"/>
        </w:rPr>
        <w:t xml:space="preserve">statistically </w:t>
      </w:r>
      <w:r w:rsidR="007B03E9" w:rsidRPr="0013064C">
        <w:rPr>
          <w:rFonts w:cs="Arial"/>
          <w:sz w:val="24"/>
          <w:szCs w:val="24"/>
        </w:rPr>
        <w:t>test for non-inferiority or equivalence</w:t>
      </w:r>
      <w:r w:rsidR="00AD513B" w:rsidRPr="0013064C">
        <w:rPr>
          <w:rFonts w:cs="Arial"/>
          <w:sz w:val="24"/>
          <w:szCs w:val="24"/>
        </w:rPr>
        <w:t xml:space="preserve"> as if the data came from a non-inferiority trial.  However, to avoid bias</w:t>
      </w:r>
      <w:r w:rsidR="00B12573" w:rsidRPr="0013064C">
        <w:rPr>
          <w:rFonts w:cs="Arial"/>
          <w:sz w:val="24"/>
          <w:szCs w:val="24"/>
        </w:rPr>
        <w:t xml:space="preserve"> </w:t>
      </w:r>
      <w:r w:rsidR="00AD513B" w:rsidRPr="0013064C">
        <w:rPr>
          <w:rFonts w:cs="Arial"/>
          <w:sz w:val="24"/>
          <w:szCs w:val="24"/>
        </w:rPr>
        <w:t>n</w:t>
      </w:r>
      <w:r w:rsidR="00605238" w:rsidRPr="0013064C">
        <w:rPr>
          <w:rFonts w:cs="Arial"/>
          <w:sz w:val="24"/>
          <w:szCs w:val="24"/>
        </w:rPr>
        <w:t>on-inferiority margins should be set before a trial commences</w:t>
      </w:r>
      <w:r w:rsidR="00AD513B" w:rsidRPr="0013064C">
        <w:rPr>
          <w:rFonts w:cs="Arial"/>
          <w:sz w:val="24"/>
          <w:szCs w:val="24"/>
        </w:rPr>
        <w:t xml:space="preserve"> which us unlikely to have been the case where the data is drawn from a superiority trial.</w:t>
      </w:r>
      <w:r w:rsidR="00605238" w:rsidRPr="0013064C">
        <w:rPr>
          <w:rFonts w:cs="Arial"/>
          <w:sz w:val="24"/>
          <w:szCs w:val="24"/>
        </w:rPr>
        <w:t xml:space="preserve">  In situations where margins have been set after the trial, particular scrutiny by a NICE committee on whether the margins truly represent a clinically insignificant difference will be required.</w:t>
      </w:r>
      <w:r w:rsidR="00AA2B38" w:rsidRPr="0013064C">
        <w:rPr>
          <w:rFonts w:cs="Arial"/>
          <w:sz w:val="24"/>
          <w:szCs w:val="24"/>
        </w:rPr>
        <w:t xml:space="preserve">  In addition, </w:t>
      </w:r>
      <w:r w:rsidRPr="0013064C">
        <w:rPr>
          <w:rFonts w:cs="Arial"/>
          <w:sz w:val="24"/>
          <w:szCs w:val="24"/>
        </w:rPr>
        <w:t xml:space="preserve">sample sizes in a superiority trial may be too small to be properly powered to test for non-inferiority or equivalence and less care may have been taken to minimise drop out and protocol violations. </w:t>
      </w:r>
      <w:r w:rsidR="00AA2B38" w:rsidRPr="0013064C">
        <w:rPr>
          <w:rFonts w:cs="Arial"/>
          <w:sz w:val="24"/>
          <w:szCs w:val="24"/>
        </w:rPr>
        <w:t>Given that for these reasons statistical evidence from a superiority trial on non-inferiority or equivalence is unlikely to be as robust as evidence from a non-inferior</w:t>
      </w:r>
      <w:r w:rsidRPr="0013064C">
        <w:rPr>
          <w:rFonts w:cs="Arial"/>
          <w:sz w:val="24"/>
          <w:szCs w:val="24"/>
        </w:rPr>
        <w:t>i</w:t>
      </w:r>
      <w:r w:rsidR="00AA2B38" w:rsidRPr="0013064C">
        <w:rPr>
          <w:rFonts w:cs="Arial"/>
          <w:sz w:val="24"/>
          <w:szCs w:val="24"/>
        </w:rPr>
        <w:t xml:space="preserve">ty </w:t>
      </w:r>
      <w:r w:rsidRPr="0013064C">
        <w:rPr>
          <w:rFonts w:cs="Arial"/>
          <w:sz w:val="24"/>
          <w:szCs w:val="24"/>
        </w:rPr>
        <w:t xml:space="preserve">trial, submissions claiming non-inferiority or equivalence for a new technology based upon superiority trial data are likely to be more dependent on other non-trial evidence to support the claim. </w:t>
      </w:r>
    </w:p>
    <w:p w14:paraId="5CD1ACBB" w14:textId="77777777" w:rsidR="00EA3C1D" w:rsidRPr="0013064C" w:rsidRDefault="00EA3C1D" w:rsidP="001B6832">
      <w:pPr>
        <w:pStyle w:val="ReportText"/>
        <w:jc w:val="left"/>
        <w:rPr>
          <w:rFonts w:cs="Arial"/>
          <w:sz w:val="24"/>
          <w:szCs w:val="24"/>
        </w:rPr>
      </w:pPr>
    </w:p>
    <w:p w14:paraId="6D1568A7" w14:textId="1955EE05" w:rsidR="00680561" w:rsidRPr="0013064C" w:rsidRDefault="00680561" w:rsidP="001B6832">
      <w:pPr>
        <w:pStyle w:val="ReportText"/>
        <w:jc w:val="left"/>
        <w:rPr>
          <w:rFonts w:cs="Arial"/>
          <w:sz w:val="24"/>
          <w:szCs w:val="24"/>
        </w:rPr>
      </w:pPr>
      <w:r w:rsidRPr="0013064C">
        <w:rPr>
          <w:rFonts w:cs="Arial"/>
          <w:sz w:val="24"/>
          <w:szCs w:val="24"/>
        </w:rPr>
        <w:t xml:space="preserve">In appraising the quality of non-inferiority or equivalence trials, or superiority trials repurposed to test for non-inferiority or equivalence, the starting point should be the CONSORT checklist for non-inferiority and equivalence trials.  Quality of non-inferiority or equivalence trials can be seen to be even more important than for superiority trials because a </w:t>
      </w:r>
      <w:proofErr w:type="gramStart"/>
      <w:r w:rsidRPr="0013064C">
        <w:rPr>
          <w:rFonts w:cs="Arial"/>
          <w:sz w:val="24"/>
          <w:szCs w:val="24"/>
        </w:rPr>
        <w:t>poor quality</w:t>
      </w:r>
      <w:proofErr w:type="gramEnd"/>
      <w:r w:rsidRPr="0013064C">
        <w:rPr>
          <w:rFonts w:cs="Arial"/>
          <w:sz w:val="24"/>
          <w:szCs w:val="24"/>
        </w:rPr>
        <w:t xml:space="preserve"> trial can lead to the conclusion that an inferior technology is actually non-inferior or equivalent.  It is, therefore, concerning that the majority of non-inferiority or equivalence trials identified in systematic reviews have significant quality issues.  It is likely that superiority trials will perform poorly against aspects of the checklist, especially around areas of sample size calculation, definition of the non-inferiority margin and patient flow. Any quality issues raised from the CONSORT checklist should be an indication to a committee that the trial evidence presented is likely to be unsuitable for decision making.  </w:t>
      </w:r>
    </w:p>
    <w:p w14:paraId="695CCA73" w14:textId="77777777" w:rsidR="00680561" w:rsidRPr="0013064C" w:rsidRDefault="00680561" w:rsidP="001B6832">
      <w:pPr>
        <w:pStyle w:val="ReportText"/>
        <w:jc w:val="left"/>
        <w:rPr>
          <w:rFonts w:cs="Arial"/>
          <w:sz w:val="24"/>
          <w:szCs w:val="24"/>
        </w:rPr>
      </w:pPr>
    </w:p>
    <w:p w14:paraId="27CF7A51" w14:textId="19D201FF" w:rsidR="00680561" w:rsidRPr="0013064C" w:rsidRDefault="00680561" w:rsidP="001B6832">
      <w:pPr>
        <w:pStyle w:val="ReportText"/>
        <w:jc w:val="left"/>
        <w:rPr>
          <w:rFonts w:cs="Arial"/>
          <w:sz w:val="24"/>
          <w:szCs w:val="24"/>
        </w:rPr>
      </w:pPr>
      <w:r w:rsidRPr="0013064C">
        <w:rPr>
          <w:rFonts w:cs="Arial"/>
          <w:sz w:val="24"/>
          <w:szCs w:val="24"/>
        </w:rPr>
        <w:t xml:space="preserve">Whilst the CONSORT checklist favours randomised controlled trials for establishing non-inferiority, no compelling reason arose from the published literature and guidelines or from consultees as to why, for observational studies, a comparator could not be drawn from case-control evidence, a retrospective cohort or the use of patient level data through a matched adjusted indirect comparison (MAIC).  Indeed, the FDA guideline on non-inferiority studies makes it clear that observational studies can establish the active control treatment effect, M1, when other data on effect is not available so observational data per se are acceptable as part of the non-inferiority process.  However, observational studies by their nature are more prone to bias than RCTs and depending on the assessment of the pathway described above a committee may decide that RCT evidence is required. </w:t>
      </w:r>
    </w:p>
    <w:p w14:paraId="28A348FD" w14:textId="77777777" w:rsidR="00680561" w:rsidRPr="0013064C" w:rsidRDefault="00680561" w:rsidP="001B6832">
      <w:pPr>
        <w:pStyle w:val="ReportText"/>
        <w:jc w:val="left"/>
        <w:rPr>
          <w:rFonts w:cs="Arial"/>
          <w:sz w:val="24"/>
          <w:szCs w:val="24"/>
        </w:rPr>
      </w:pPr>
    </w:p>
    <w:p w14:paraId="71E6CBCF" w14:textId="70DD327E" w:rsidR="00155F06" w:rsidRPr="00772DA1" w:rsidRDefault="007445F2" w:rsidP="001B6832">
      <w:pPr>
        <w:pStyle w:val="ReportText"/>
        <w:jc w:val="left"/>
        <w:rPr>
          <w:rFonts w:cs="Arial"/>
        </w:rPr>
        <w:sectPr w:rsidR="00155F06" w:rsidRPr="00772DA1" w:rsidSect="00C60A9E">
          <w:pgSz w:w="11906" w:h="16838" w:code="9"/>
          <w:pgMar w:top="992" w:right="1440" w:bottom="1701" w:left="1440" w:header="703" w:footer="527" w:gutter="0"/>
          <w:cols w:space="708"/>
          <w:docGrid w:linePitch="360"/>
        </w:sectPr>
      </w:pPr>
      <w:r w:rsidRPr="0013064C">
        <w:rPr>
          <w:rFonts w:cs="Arial"/>
          <w:sz w:val="24"/>
          <w:szCs w:val="24"/>
        </w:rPr>
        <w:lastRenderedPageBreak/>
        <w:t>The method</w:t>
      </w:r>
      <w:r w:rsidR="005F7C88" w:rsidRPr="0013064C">
        <w:rPr>
          <w:rFonts w:cs="Arial"/>
          <w:sz w:val="24"/>
          <w:szCs w:val="24"/>
        </w:rPr>
        <w:t>ological literature on diagnostics compared to pharmaceuticals</w:t>
      </w:r>
      <w:r w:rsidRPr="0013064C">
        <w:rPr>
          <w:rFonts w:cs="Arial"/>
          <w:sz w:val="24"/>
          <w:szCs w:val="24"/>
        </w:rPr>
        <w:t xml:space="preserve"> of statistical testing </w:t>
      </w:r>
      <w:r w:rsidR="00BF5E79" w:rsidRPr="0013064C">
        <w:rPr>
          <w:rFonts w:cs="Arial"/>
          <w:sz w:val="24"/>
          <w:szCs w:val="24"/>
        </w:rPr>
        <w:t xml:space="preserve">was limited but </w:t>
      </w:r>
      <w:r w:rsidRPr="0013064C">
        <w:rPr>
          <w:rFonts w:cs="Arial"/>
          <w:sz w:val="24"/>
          <w:szCs w:val="24"/>
        </w:rPr>
        <w:t>in large part non-inferiority and equivalence for diagnostics can be seen as no different as is the case for other technologies.</w:t>
      </w:r>
      <w:r w:rsidR="00BF5E79" w:rsidRPr="0013064C">
        <w:rPr>
          <w:rFonts w:cs="Arial"/>
          <w:sz w:val="24"/>
          <w:szCs w:val="24"/>
        </w:rPr>
        <w:t xml:space="preserve">  The only difference of note would be that a non-inferiority margin for sensitivity and specificity will be required</w:t>
      </w:r>
      <w:r w:rsidR="0033785B" w:rsidRPr="0013064C">
        <w:rPr>
          <w:rFonts w:cs="Arial"/>
          <w:sz w:val="24"/>
          <w:szCs w:val="24"/>
        </w:rPr>
        <w:t xml:space="preserve"> or on correlation coefficients or the slopes and intercepts of regression analysis</w:t>
      </w:r>
      <w:r w:rsidR="00BF5E79" w:rsidRPr="0013064C">
        <w:rPr>
          <w:rFonts w:cs="Arial"/>
          <w:sz w:val="24"/>
          <w:szCs w:val="24"/>
        </w:rPr>
        <w:t xml:space="preserve">.  </w:t>
      </w:r>
      <w:r w:rsidR="008C2CAD" w:rsidRPr="0013064C">
        <w:rPr>
          <w:rFonts w:cs="Arial"/>
          <w:sz w:val="24"/>
          <w:szCs w:val="24"/>
        </w:rPr>
        <w:t xml:space="preserve">Whilst methods for joint testing of sensitivity and specificity of have been described in the literature, </w:t>
      </w:r>
      <w:r w:rsidR="00992160" w:rsidRPr="0013064C">
        <w:rPr>
          <w:rFonts w:cs="Arial"/>
          <w:sz w:val="24"/>
          <w:szCs w:val="24"/>
        </w:rPr>
        <w:t xml:space="preserve">or for differences in ROC curves </w:t>
      </w:r>
      <w:r w:rsidR="008C2CAD" w:rsidRPr="0013064C">
        <w:rPr>
          <w:rFonts w:cs="Arial"/>
          <w:sz w:val="24"/>
          <w:szCs w:val="24"/>
        </w:rPr>
        <w:t xml:space="preserve">the reasons for doing this may be limited to some advantages in sample size for the trial but potentially this could be at the expense in clarity of </w:t>
      </w:r>
      <w:r w:rsidR="00992160" w:rsidRPr="0013064C">
        <w:rPr>
          <w:rFonts w:cs="Arial"/>
          <w:sz w:val="24"/>
          <w:szCs w:val="24"/>
        </w:rPr>
        <w:t>what the non-inferiority bound represents.</w:t>
      </w:r>
      <w:r w:rsidR="00772DA1" w:rsidRPr="0013064C">
        <w:rPr>
          <w:rFonts w:cs="Arial"/>
          <w:sz w:val="24"/>
          <w:szCs w:val="24"/>
        </w:rPr>
        <w:t xml:space="preserve">  In addition, non-inferiority or equivalence assessed through ROC curves may not be acceptable in HTA where a thorough understanding of the consequences of false negatives and false positives are required to compare outcomes from two diagnostic tests.  </w:t>
      </w:r>
      <w:r w:rsidR="0033785B" w:rsidRPr="0013064C">
        <w:rPr>
          <w:rFonts w:cs="Arial"/>
          <w:sz w:val="24"/>
          <w:szCs w:val="24"/>
        </w:rPr>
        <w:t xml:space="preserve"> </w:t>
      </w:r>
    </w:p>
    <w:p w14:paraId="6D9A29A0" w14:textId="1E7B0E78" w:rsidR="00FA1218" w:rsidRPr="00344469" w:rsidRDefault="00FA1218" w:rsidP="00FA1218">
      <w:pPr>
        <w:pStyle w:val="Heading1"/>
        <w:tabs>
          <w:tab w:val="clear" w:pos="2160"/>
        </w:tabs>
        <w:ind w:left="2552" w:hanging="2552"/>
      </w:pPr>
      <w:bookmarkStart w:id="11" w:name="_Toc31727304"/>
      <w:r>
        <w:lastRenderedPageBreak/>
        <w:t>Recommendations</w:t>
      </w:r>
      <w:bookmarkEnd w:id="11"/>
    </w:p>
    <w:p w14:paraId="2932DC5E" w14:textId="0F710A16" w:rsidR="00C60A9E" w:rsidRDefault="00C60A9E" w:rsidP="009B664E">
      <w:pPr>
        <w:pStyle w:val="ReportText"/>
        <w:rPr>
          <w:rFonts w:cs="Arial"/>
        </w:rPr>
      </w:pPr>
    </w:p>
    <w:p w14:paraId="7E9C9B52" w14:textId="77777777" w:rsidR="00D134C2" w:rsidRDefault="00D134C2" w:rsidP="009B664E">
      <w:pPr>
        <w:pStyle w:val="ReportText"/>
        <w:rPr>
          <w:rFonts w:cs="Arial"/>
        </w:rPr>
      </w:pPr>
    </w:p>
    <w:p w14:paraId="782FFFDC" w14:textId="77777777" w:rsidR="00581E59" w:rsidRPr="0013064C" w:rsidRDefault="00581E59" w:rsidP="009B664E">
      <w:pPr>
        <w:pStyle w:val="ReportText"/>
        <w:rPr>
          <w:rFonts w:cs="Arial"/>
          <w:sz w:val="24"/>
          <w:szCs w:val="24"/>
        </w:rPr>
      </w:pPr>
    </w:p>
    <w:p w14:paraId="3B066630" w14:textId="16DDCCBA" w:rsidR="005453E7" w:rsidRPr="0013064C" w:rsidRDefault="005453E7" w:rsidP="001B6832">
      <w:pPr>
        <w:pStyle w:val="ReportText"/>
        <w:numPr>
          <w:ilvl w:val="0"/>
          <w:numId w:val="4"/>
        </w:numPr>
        <w:ind w:left="851" w:hanging="851"/>
        <w:jc w:val="left"/>
        <w:rPr>
          <w:rFonts w:cs="Arial"/>
          <w:sz w:val="24"/>
          <w:szCs w:val="24"/>
        </w:rPr>
      </w:pPr>
      <w:r w:rsidRPr="0013064C">
        <w:rPr>
          <w:rFonts w:cs="Arial"/>
          <w:sz w:val="24"/>
          <w:szCs w:val="24"/>
        </w:rPr>
        <w:t xml:space="preserve">The terminology in NICE guidelines </w:t>
      </w:r>
      <w:r w:rsidR="00D134C2" w:rsidRPr="0013064C">
        <w:rPr>
          <w:rFonts w:cs="Arial"/>
          <w:sz w:val="24"/>
          <w:szCs w:val="24"/>
        </w:rPr>
        <w:t xml:space="preserve">requires </w:t>
      </w:r>
      <w:r w:rsidRPr="0013064C">
        <w:rPr>
          <w:rFonts w:cs="Arial"/>
          <w:sz w:val="24"/>
          <w:szCs w:val="24"/>
        </w:rPr>
        <w:t xml:space="preserve">more precision around non-inferiority and equivalence.  The word ‘similar’ should not be used and </w:t>
      </w:r>
      <w:r w:rsidR="00335E25" w:rsidRPr="0013064C">
        <w:rPr>
          <w:rFonts w:cs="Arial"/>
          <w:sz w:val="24"/>
          <w:szCs w:val="24"/>
        </w:rPr>
        <w:t xml:space="preserve">the terms </w:t>
      </w:r>
      <w:r w:rsidR="00D134C2" w:rsidRPr="0013064C">
        <w:rPr>
          <w:rFonts w:cs="Arial"/>
          <w:sz w:val="24"/>
          <w:szCs w:val="24"/>
        </w:rPr>
        <w:t>‘</w:t>
      </w:r>
      <w:r w:rsidR="00335E25" w:rsidRPr="0013064C">
        <w:rPr>
          <w:rFonts w:cs="Arial"/>
          <w:sz w:val="24"/>
          <w:szCs w:val="24"/>
        </w:rPr>
        <w:t>non-inferiority</w:t>
      </w:r>
      <w:r w:rsidR="00D134C2" w:rsidRPr="0013064C">
        <w:rPr>
          <w:rFonts w:cs="Arial"/>
          <w:sz w:val="24"/>
          <w:szCs w:val="24"/>
        </w:rPr>
        <w:t>’</w:t>
      </w:r>
      <w:r w:rsidR="00335E25" w:rsidRPr="0013064C">
        <w:rPr>
          <w:rFonts w:cs="Arial"/>
          <w:sz w:val="24"/>
          <w:szCs w:val="24"/>
        </w:rPr>
        <w:t xml:space="preserve"> and </w:t>
      </w:r>
      <w:r w:rsidR="00D134C2" w:rsidRPr="0013064C">
        <w:rPr>
          <w:rFonts w:cs="Arial"/>
          <w:sz w:val="24"/>
          <w:szCs w:val="24"/>
        </w:rPr>
        <w:t>‘</w:t>
      </w:r>
      <w:r w:rsidR="00335E25" w:rsidRPr="0013064C">
        <w:rPr>
          <w:rFonts w:cs="Arial"/>
          <w:sz w:val="24"/>
          <w:szCs w:val="24"/>
        </w:rPr>
        <w:t>equivalence</w:t>
      </w:r>
      <w:r w:rsidR="00D134C2" w:rsidRPr="0013064C">
        <w:rPr>
          <w:rFonts w:cs="Arial"/>
          <w:sz w:val="24"/>
          <w:szCs w:val="24"/>
        </w:rPr>
        <w:t>’</w:t>
      </w:r>
      <w:r w:rsidR="00335E25" w:rsidRPr="0013064C">
        <w:rPr>
          <w:rFonts w:cs="Arial"/>
          <w:sz w:val="24"/>
          <w:szCs w:val="24"/>
        </w:rPr>
        <w:t xml:space="preserve"> should not be used interchangeably.</w:t>
      </w:r>
    </w:p>
    <w:p w14:paraId="145021BF" w14:textId="77777777" w:rsidR="005453E7" w:rsidRPr="0013064C" w:rsidRDefault="005453E7" w:rsidP="001B6832">
      <w:pPr>
        <w:pStyle w:val="ReportText"/>
        <w:ind w:left="851" w:hanging="851"/>
        <w:jc w:val="left"/>
        <w:rPr>
          <w:rFonts w:cs="Arial"/>
          <w:sz w:val="24"/>
          <w:szCs w:val="24"/>
        </w:rPr>
      </w:pPr>
    </w:p>
    <w:p w14:paraId="60A567AE" w14:textId="7AB1C8E0" w:rsidR="007A7D25" w:rsidRPr="0013064C" w:rsidRDefault="007A7D25" w:rsidP="001B6832">
      <w:pPr>
        <w:pStyle w:val="ReportText"/>
        <w:numPr>
          <w:ilvl w:val="0"/>
          <w:numId w:val="4"/>
        </w:numPr>
        <w:ind w:left="851" w:hanging="851"/>
        <w:jc w:val="left"/>
        <w:rPr>
          <w:rFonts w:cs="Arial"/>
          <w:sz w:val="24"/>
          <w:szCs w:val="24"/>
        </w:rPr>
      </w:pPr>
      <w:r w:rsidRPr="0013064C">
        <w:rPr>
          <w:rFonts w:cs="Arial"/>
          <w:sz w:val="24"/>
          <w:szCs w:val="24"/>
        </w:rPr>
        <w:t xml:space="preserve">Before looking at non-inferiority evidence, the patient pathway in which the technology will be placed and all aspects of the pathway </w:t>
      </w:r>
      <w:r w:rsidR="00335E25" w:rsidRPr="0013064C">
        <w:rPr>
          <w:rFonts w:cs="Arial"/>
          <w:sz w:val="24"/>
          <w:szCs w:val="24"/>
        </w:rPr>
        <w:t xml:space="preserve">where </w:t>
      </w:r>
      <w:r w:rsidRPr="0013064C">
        <w:rPr>
          <w:rFonts w:cs="Arial"/>
          <w:sz w:val="24"/>
          <w:szCs w:val="24"/>
        </w:rPr>
        <w:t>the technology will impact on patient outcomes and costs needs to be determined.</w:t>
      </w:r>
      <w:r w:rsidR="00D134C2" w:rsidRPr="0013064C">
        <w:rPr>
          <w:rFonts w:cs="Arial"/>
          <w:sz w:val="24"/>
          <w:szCs w:val="24"/>
        </w:rPr>
        <w:t xml:space="preserve"> </w:t>
      </w:r>
      <w:r w:rsidRPr="0013064C">
        <w:rPr>
          <w:rFonts w:cs="Arial"/>
          <w:sz w:val="24"/>
          <w:szCs w:val="24"/>
        </w:rPr>
        <w:t xml:space="preserve"> Evidence on non-inferiority needs to be provided against all aspects of the patient pathway where the technology could change patient outcomes negatively that would have a material impact on costs or QALYs. </w:t>
      </w:r>
      <w:r w:rsidR="00D134C2" w:rsidRPr="0013064C">
        <w:rPr>
          <w:rFonts w:cs="Arial"/>
          <w:sz w:val="24"/>
          <w:szCs w:val="24"/>
        </w:rPr>
        <w:t xml:space="preserve"> </w:t>
      </w:r>
      <w:r w:rsidRPr="0013064C">
        <w:rPr>
          <w:rFonts w:cs="Arial"/>
          <w:sz w:val="24"/>
          <w:szCs w:val="24"/>
        </w:rPr>
        <w:t xml:space="preserve">Where evidence against any of these aspects suggests that an assessed technology is inferior to existing technology, or evidence is absent or inconclusive, a conclusion of non-inferiority or equivalence should not be drawn. </w:t>
      </w:r>
    </w:p>
    <w:p w14:paraId="6E721F44" w14:textId="77777777" w:rsidR="007A7D25" w:rsidRPr="0013064C" w:rsidRDefault="007A7D25" w:rsidP="001B6832">
      <w:pPr>
        <w:pStyle w:val="ReportText"/>
        <w:ind w:left="851" w:hanging="851"/>
        <w:jc w:val="left"/>
        <w:rPr>
          <w:rFonts w:cs="Arial"/>
          <w:sz w:val="24"/>
          <w:szCs w:val="24"/>
        </w:rPr>
      </w:pPr>
    </w:p>
    <w:p w14:paraId="10054855" w14:textId="4E387FFC" w:rsidR="007A7D25" w:rsidRPr="0013064C" w:rsidRDefault="007A7D25" w:rsidP="001B6832">
      <w:pPr>
        <w:pStyle w:val="ReportText"/>
        <w:numPr>
          <w:ilvl w:val="0"/>
          <w:numId w:val="4"/>
        </w:numPr>
        <w:ind w:left="851" w:hanging="851"/>
        <w:jc w:val="left"/>
        <w:rPr>
          <w:rFonts w:cs="Arial"/>
          <w:sz w:val="24"/>
          <w:szCs w:val="24"/>
        </w:rPr>
      </w:pPr>
      <w:r w:rsidRPr="0013064C">
        <w:rPr>
          <w:rFonts w:cs="Arial"/>
          <w:sz w:val="24"/>
          <w:szCs w:val="24"/>
        </w:rPr>
        <w:t xml:space="preserve">Assessment of non-inferiority and equivalence should not be based on trial evidence alone, but should first be based upon an assessment of the technological, biological and/or pharmacokinetic reasons to support the assumption that a new technology would not be inferior to the existing comparator. </w:t>
      </w:r>
      <w:r w:rsidR="00D134C2" w:rsidRPr="0013064C">
        <w:rPr>
          <w:rFonts w:cs="Arial"/>
          <w:sz w:val="24"/>
          <w:szCs w:val="24"/>
        </w:rPr>
        <w:t xml:space="preserve"> </w:t>
      </w:r>
      <w:r w:rsidRPr="0013064C">
        <w:rPr>
          <w:rFonts w:cs="Arial"/>
          <w:sz w:val="24"/>
          <w:szCs w:val="24"/>
        </w:rPr>
        <w:t>Without this rationale, the reasons for undertaking a non-inferiority trial should be challenged.</w:t>
      </w:r>
      <w:r w:rsidR="00D134C2" w:rsidRPr="0013064C">
        <w:rPr>
          <w:rFonts w:cs="Arial"/>
          <w:sz w:val="24"/>
          <w:szCs w:val="24"/>
        </w:rPr>
        <w:t xml:space="preserve"> </w:t>
      </w:r>
      <w:r w:rsidRPr="0013064C">
        <w:rPr>
          <w:rFonts w:cs="Arial"/>
          <w:sz w:val="24"/>
          <w:szCs w:val="24"/>
        </w:rPr>
        <w:t xml:space="preserve"> For devices or diagnostics, where the impact of the technology may be on only one or a small number of patient outcomes, then the innovations in the technology itself over existing technologies coupled with evidence from how the technology has been successfully introduced in clinical practice may be sufficient to conclude non-inferiority or equivalence without a controlled trial. </w:t>
      </w:r>
    </w:p>
    <w:p w14:paraId="3BBD3731" w14:textId="77777777" w:rsidR="007A7D25" w:rsidRPr="0013064C" w:rsidRDefault="007A7D25" w:rsidP="001B6832">
      <w:pPr>
        <w:pStyle w:val="ReportText"/>
        <w:ind w:left="851" w:hanging="851"/>
        <w:jc w:val="left"/>
        <w:rPr>
          <w:rFonts w:cs="Arial"/>
          <w:sz w:val="24"/>
          <w:szCs w:val="24"/>
        </w:rPr>
      </w:pPr>
    </w:p>
    <w:p w14:paraId="6477A490" w14:textId="6D052E0F" w:rsidR="00581E59" w:rsidRPr="0013064C" w:rsidRDefault="00581E59" w:rsidP="001B6832">
      <w:pPr>
        <w:pStyle w:val="ReportText"/>
        <w:numPr>
          <w:ilvl w:val="0"/>
          <w:numId w:val="4"/>
        </w:numPr>
        <w:ind w:left="851" w:hanging="851"/>
        <w:jc w:val="left"/>
        <w:rPr>
          <w:rFonts w:cs="Arial"/>
          <w:sz w:val="24"/>
          <w:szCs w:val="24"/>
        </w:rPr>
      </w:pPr>
      <w:r w:rsidRPr="0013064C">
        <w:rPr>
          <w:rFonts w:cs="Arial"/>
          <w:sz w:val="24"/>
          <w:szCs w:val="24"/>
        </w:rPr>
        <w:t>The assessment of evidence presented to NICE on non-inferiority or equivalence should be undertaken with the same, if not greater, rigour as an assessment of superiority</w:t>
      </w:r>
      <w:r w:rsidR="007A7D25" w:rsidRPr="0013064C">
        <w:rPr>
          <w:rFonts w:cs="Arial"/>
          <w:sz w:val="24"/>
          <w:szCs w:val="24"/>
        </w:rPr>
        <w:t xml:space="preserve"> in the TA or MTEP </w:t>
      </w:r>
      <w:r w:rsidR="00A855B9" w:rsidRPr="0013064C">
        <w:rPr>
          <w:rFonts w:cs="Arial"/>
          <w:sz w:val="24"/>
          <w:szCs w:val="24"/>
        </w:rPr>
        <w:t>assessment processes</w:t>
      </w:r>
      <w:r w:rsidRPr="0013064C">
        <w:rPr>
          <w:rFonts w:cs="Arial"/>
          <w:sz w:val="24"/>
          <w:szCs w:val="24"/>
        </w:rPr>
        <w:t xml:space="preserve">. </w:t>
      </w:r>
      <w:r w:rsidR="00D134C2" w:rsidRPr="0013064C">
        <w:rPr>
          <w:rFonts w:cs="Arial"/>
          <w:sz w:val="24"/>
          <w:szCs w:val="24"/>
        </w:rPr>
        <w:t xml:space="preserve"> </w:t>
      </w:r>
      <w:r w:rsidRPr="0013064C">
        <w:rPr>
          <w:rFonts w:cs="Arial"/>
          <w:sz w:val="24"/>
          <w:szCs w:val="24"/>
        </w:rPr>
        <w:t>An assessment of non-inferiority or equivalence should not be seen as an easier evidential hurdle than superiority. </w:t>
      </w:r>
    </w:p>
    <w:p w14:paraId="5CF11C13" w14:textId="77777777" w:rsidR="00581E59" w:rsidRPr="0013064C" w:rsidRDefault="00581E59" w:rsidP="001B6832">
      <w:pPr>
        <w:pStyle w:val="ReportText"/>
        <w:ind w:left="851" w:hanging="851"/>
        <w:jc w:val="left"/>
        <w:rPr>
          <w:rFonts w:cs="Arial"/>
          <w:sz w:val="24"/>
          <w:szCs w:val="24"/>
        </w:rPr>
      </w:pPr>
    </w:p>
    <w:p w14:paraId="14FF0D90" w14:textId="3D45328F" w:rsidR="00A855B9" w:rsidRPr="0013064C" w:rsidRDefault="00A855B9" w:rsidP="001B6832">
      <w:pPr>
        <w:pStyle w:val="ReportText"/>
        <w:numPr>
          <w:ilvl w:val="0"/>
          <w:numId w:val="4"/>
        </w:numPr>
        <w:ind w:left="851" w:hanging="851"/>
        <w:jc w:val="left"/>
        <w:rPr>
          <w:rFonts w:cs="Arial"/>
          <w:sz w:val="24"/>
          <w:szCs w:val="24"/>
        </w:rPr>
      </w:pPr>
      <w:r w:rsidRPr="0013064C">
        <w:rPr>
          <w:rFonts w:cs="Arial"/>
          <w:sz w:val="24"/>
          <w:szCs w:val="24"/>
        </w:rPr>
        <w:t xml:space="preserve">In circumstances where a non-inferiority or equivalence study is required, </w:t>
      </w:r>
      <w:r w:rsidR="00581E59" w:rsidRPr="0013064C">
        <w:rPr>
          <w:rFonts w:cs="Arial"/>
          <w:sz w:val="24"/>
          <w:szCs w:val="24"/>
        </w:rPr>
        <w:t xml:space="preserve">a poor quality and/or under powered study is likely to </w:t>
      </w:r>
      <w:r w:rsidRPr="0013064C">
        <w:rPr>
          <w:rFonts w:cs="Arial"/>
          <w:sz w:val="24"/>
          <w:szCs w:val="24"/>
        </w:rPr>
        <w:t xml:space="preserve">lead to inconclusive results or </w:t>
      </w:r>
      <w:r w:rsidR="00A8548C" w:rsidRPr="0013064C">
        <w:rPr>
          <w:rFonts w:cs="Arial"/>
          <w:sz w:val="24"/>
          <w:szCs w:val="24"/>
        </w:rPr>
        <w:t>incorrectly</w:t>
      </w:r>
      <w:r w:rsidR="002F1A7F" w:rsidRPr="0013064C">
        <w:rPr>
          <w:rFonts w:cs="Arial"/>
          <w:sz w:val="24"/>
          <w:szCs w:val="24"/>
        </w:rPr>
        <w:t xml:space="preserve"> conclude</w:t>
      </w:r>
      <w:r w:rsidRPr="0013064C">
        <w:rPr>
          <w:rFonts w:cs="Arial"/>
          <w:sz w:val="24"/>
          <w:szCs w:val="24"/>
        </w:rPr>
        <w:t xml:space="preserve"> the new technology is</w:t>
      </w:r>
      <w:r w:rsidR="00F75C59" w:rsidRPr="0013064C">
        <w:rPr>
          <w:rFonts w:cs="Arial"/>
          <w:sz w:val="24"/>
          <w:szCs w:val="24"/>
        </w:rPr>
        <w:t>,</w:t>
      </w:r>
      <w:r w:rsidR="002F1A7F" w:rsidRPr="0013064C">
        <w:rPr>
          <w:rFonts w:cs="Arial"/>
          <w:sz w:val="24"/>
          <w:szCs w:val="24"/>
        </w:rPr>
        <w:t xml:space="preserve"> or is not</w:t>
      </w:r>
      <w:r w:rsidR="00F75C59" w:rsidRPr="0013064C">
        <w:rPr>
          <w:rFonts w:cs="Arial"/>
          <w:sz w:val="24"/>
          <w:szCs w:val="24"/>
        </w:rPr>
        <w:t>,</w:t>
      </w:r>
      <w:r w:rsidRPr="0013064C">
        <w:rPr>
          <w:rFonts w:cs="Arial"/>
          <w:sz w:val="24"/>
          <w:szCs w:val="24"/>
        </w:rPr>
        <w:t xml:space="preserve"> inferior to an existing technology</w:t>
      </w:r>
      <w:r w:rsidR="00581E59" w:rsidRPr="0013064C">
        <w:rPr>
          <w:rFonts w:cs="Arial"/>
          <w:sz w:val="24"/>
          <w:szCs w:val="24"/>
        </w:rPr>
        <w:t>.</w:t>
      </w:r>
      <w:r w:rsidRPr="0013064C">
        <w:rPr>
          <w:rFonts w:cs="Arial"/>
          <w:sz w:val="24"/>
          <w:szCs w:val="24"/>
        </w:rPr>
        <w:t xml:space="preserve">  Observational studies with a comparator drawn, for example, from the population through a MAIC may be used </w:t>
      </w:r>
      <w:r w:rsidR="00335E25" w:rsidRPr="0013064C">
        <w:rPr>
          <w:rFonts w:cs="Arial"/>
          <w:sz w:val="24"/>
          <w:szCs w:val="24"/>
        </w:rPr>
        <w:t xml:space="preserve">where an RCT </w:t>
      </w:r>
      <w:r w:rsidR="00335E25" w:rsidRPr="0013064C">
        <w:rPr>
          <w:rFonts w:cs="Arial"/>
          <w:sz w:val="24"/>
          <w:szCs w:val="24"/>
        </w:rPr>
        <w:lastRenderedPageBreak/>
        <w:t xml:space="preserve">was not possible </w:t>
      </w:r>
      <w:r w:rsidRPr="0013064C">
        <w:rPr>
          <w:rFonts w:cs="Arial"/>
          <w:sz w:val="24"/>
          <w:szCs w:val="24"/>
        </w:rPr>
        <w:t>but the methods used to undertake the analysis must be rigorous and transparent</w:t>
      </w:r>
      <w:r w:rsidR="00335E25" w:rsidRPr="0013064C">
        <w:rPr>
          <w:rFonts w:cs="Arial"/>
          <w:sz w:val="24"/>
          <w:szCs w:val="24"/>
        </w:rPr>
        <w:t>.</w:t>
      </w:r>
    </w:p>
    <w:p w14:paraId="15CADDF0" w14:textId="77777777" w:rsidR="00335E25" w:rsidRPr="0013064C" w:rsidRDefault="00335E25" w:rsidP="001B6832">
      <w:pPr>
        <w:pStyle w:val="ReportText"/>
        <w:ind w:left="851" w:hanging="851"/>
        <w:jc w:val="left"/>
        <w:rPr>
          <w:rFonts w:cs="Arial"/>
          <w:sz w:val="24"/>
          <w:szCs w:val="24"/>
        </w:rPr>
      </w:pPr>
    </w:p>
    <w:p w14:paraId="28CEF718" w14:textId="5603AAB3" w:rsidR="00581E59" w:rsidRPr="0013064C" w:rsidRDefault="00581E59" w:rsidP="001B6832">
      <w:pPr>
        <w:pStyle w:val="ReportText"/>
        <w:numPr>
          <w:ilvl w:val="0"/>
          <w:numId w:val="4"/>
        </w:numPr>
        <w:ind w:left="851" w:hanging="851"/>
        <w:jc w:val="left"/>
        <w:rPr>
          <w:rFonts w:cs="Arial"/>
          <w:sz w:val="24"/>
          <w:szCs w:val="24"/>
        </w:rPr>
      </w:pPr>
      <w:r w:rsidRPr="0013064C">
        <w:rPr>
          <w:rFonts w:cs="Arial"/>
          <w:sz w:val="24"/>
          <w:szCs w:val="24"/>
        </w:rPr>
        <w:t xml:space="preserve">Analysis of the findings from </w:t>
      </w:r>
      <w:r w:rsidR="00A855B9" w:rsidRPr="0013064C">
        <w:rPr>
          <w:rFonts w:cs="Arial"/>
          <w:sz w:val="24"/>
          <w:szCs w:val="24"/>
        </w:rPr>
        <w:t xml:space="preserve">a non-inferiority or equivalence </w:t>
      </w:r>
      <w:r w:rsidRPr="0013064C">
        <w:rPr>
          <w:rFonts w:cs="Arial"/>
          <w:sz w:val="24"/>
          <w:szCs w:val="24"/>
        </w:rPr>
        <w:t xml:space="preserve">trial has </w:t>
      </w:r>
      <w:r w:rsidR="00A855B9" w:rsidRPr="0013064C">
        <w:rPr>
          <w:rFonts w:cs="Arial"/>
          <w:sz w:val="24"/>
          <w:szCs w:val="24"/>
        </w:rPr>
        <w:t xml:space="preserve">to </w:t>
      </w:r>
      <w:r w:rsidRPr="0013064C">
        <w:rPr>
          <w:rFonts w:cs="Arial"/>
          <w:sz w:val="24"/>
          <w:szCs w:val="24"/>
        </w:rPr>
        <w:t>ensure that steps</w:t>
      </w:r>
      <w:r w:rsidR="00A855B9" w:rsidRPr="0013064C">
        <w:rPr>
          <w:rFonts w:cs="Arial"/>
          <w:sz w:val="24"/>
          <w:szCs w:val="24"/>
        </w:rPr>
        <w:t xml:space="preserve"> are taken</w:t>
      </w:r>
      <w:r w:rsidRPr="0013064C">
        <w:rPr>
          <w:rFonts w:cs="Arial"/>
          <w:sz w:val="24"/>
          <w:szCs w:val="24"/>
        </w:rPr>
        <w:t xml:space="preserve"> to minimise bias arising from issues such as from loss to follow up </w:t>
      </w:r>
      <w:r w:rsidR="00D134C2" w:rsidRPr="0013064C">
        <w:rPr>
          <w:rFonts w:cs="Arial"/>
          <w:sz w:val="24"/>
          <w:szCs w:val="24"/>
        </w:rPr>
        <w:t>(</w:t>
      </w:r>
      <w:r w:rsidRPr="0013064C">
        <w:rPr>
          <w:rFonts w:cs="Arial"/>
          <w:sz w:val="24"/>
          <w:szCs w:val="24"/>
        </w:rPr>
        <w:t>such as using ITT analysis</w:t>
      </w:r>
      <w:r w:rsidR="00D134C2" w:rsidRPr="0013064C">
        <w:rPr>
          <w:rFonts w:cs="Arial"/>
          <w:sz w:val="24"/>
          <w:szCs w:val="24"/>
        </w:rPr>
        <w:t>)</w:t>
      </w:r>
      <w:r w:rsidRPr="0013064C">
        <w:rPr>
          <w:rFonts w:cs="Arial"/>
          <w:sz w:val="24"/>
          <w:szCs w:val="24"/>
        </w:rPr>
        <w:t>, do not increase the likelihood of concluding that treatments are equivalent or the study treatment is non-inferior to the comparator treatment by reducing the effect size of the comparator treatment.</w:t>
      </w:r>
      <w:r w:rsidR="00A855B9" w:rsidRPr="0013064C">
        <w:rPr>
          <w:rFonts w:cs="Arial"/>
          <w:sz w:val="24"/>
          <w:szCs w:val="24"/>
        </w:rPr>
        <w:t xml:space="preserve"> </w:t>
      </w:r>
      <w:r w:rsidRPr="0013064C">
        <w:rPr>
          <w:rFonts w:cs="Arial"/>
          <w:sz w:val="24"/>
          <w:szCs w:val="24"/>
        </w:rPr>
        <w:t xml:space="preserve"> Acceptance of </w:t>
      </w:r>
      <w:proofErr w:type="gramStart"/>
      <w:r w:rsidRPr="0013064C">
        <w:rPr>
          <w:rFonts w:cs="Arial"/>
          <w:sz w:val="24"/>
          <w:szCs w:val="24"/>
        </w:rPr>
        <w:t>poor quality</w:t>
      </w:r>
      <w:proofErr w:type="gramEnd"/>
      <w:r w:rsidRPr="0013064C">
        <w:rPr>
          <w:rFonts w:cs="Arial"/>
          <w:sz w:val="24"/>
          <w:szCs w:val="24"/>
        </w:rPr>
        <w:t xml:space="preserve"> evidence of non-inferiority or equivalence for treatments that are not actually non-inferior or equivalent will result in a degradation of effect in NHS funded treatments with increasingly</w:t>
      </w:r>
      <w:r w:rsidR="00335E25" w:rsidRPr="0013064C">
        <w:rPr>
          <w:rFonts w:cs="Arial"/>
          <w:sz w:val="24"/>
          <w:szCs w:val="24"/>
        </w:rPr>
        <w:t xml:space="preserve"> </w:t>
      </w:r>
      <w:r w:rsidRPr="0013064C">
        <w:rPr>
          <w:rFonts w:cs="Arial"/>
          <w:sz w:val="24"/>
          <w:szCs w:val="24"/>
        </w:rPr>
        <w:t xml:space="preserve">ineffective technologies being approved until a technology is recommended that is no more effective than placebo. </w:t>
      </w:r>
    </w:p>
    <w:p w14:paraId="26EA26AB" w14:textId="77777777" w:rsidR="00581E59" w:rsidRPr="0013064C" w:rsidRDefault="00581E59" w:rsidP="001B6832">
      <w:pPr>
        <w:pStyle w:val="ReportText"/>
        <w:ind w:left="851" w:hanging="851"/>
        <w:jc w:val="left"/>
        <w:rPr>
          <w:rFonts w:cs="Arial"/>
          <w:sz w:val="24"/>
          <w:szCs w:val="24"/>
        </w:rPr>
      </w:pPr>
    </w:p>
    <w:p w14:paraId="7FDA2484" w14:textId="70F4DBA2" w:rsidR="00581E59" w:rsidRPr="0013064C" w:rsidRDefault="00D134C2" w:rsidP="001B6832">
      <w:pPr>
        <w:pStyle w:val="ReportText"/>
        <w:numPr>
          <w:ilvl w:val="0"/>
          <w:numId w:val="4"/>
        </w:numPr>
        <w:ind w:left="851" w:hanging="851"/>
        <w:jc w:val="left"/>
        <w:rPr>
          <w:rFonts w:cs="Arial"/>
          <w:sz w:val="24"/>
          <w:szCs w:val="24"/>
        </w:rPr>
      </w:pPr>
      <w:r w:rsidRPr="0013064C">
        <w:rPr>
          <w:rFonts w:cs="Arial"/>
          <w:sz w:val="24"/>
          <w:szCs w:val="24"/>
        </w:rPr>
        <w:t>Although they are similar in some respects, e</w:t>
      </w:r>
      <w:r w:rsidR="00581E59" w:rsidRPr="0013064C">
        <w:rPr>
          <w:rFonts w:cs="Arial"/>
          <w:sz w:val="24"/>
          <w:szCs w:val="24"/>
        </w:rPr>
        <w:t>quivalence and non-inferiority studies are not the same.</w:t>
      </w:r>
      <w:r w:rsidRPr="0013064C">
        <w:rPr>
          <w:rFonts w:cs="Arial"/>
          <w:sz w:val="24"/>
          <w:szCs w:val="24"/>
        </w:rPr>
        <w:t xml:space="preserve"> </w:t>
      </w:r>
      <w:r w:rsidR="00581E59" w:rsidRPr="0013064C">
        <w:rPr>
          <w:rFonts w:cs="Arial"/>
          <w:sz w:val="24"/>
          <w:szCs w:val="24"/>
        </w:rPr>
        <w:t xml:space="preserve"> Both the similarities and the differences in the interpretation of the statistics generated by an equivalence and non-inferiority trial needs to be understood and recognised to correctly interpret findings and ensure the conclusions drawn on trial evidence correctly reflect trial design. </w:t>
      </w:r>
      <w:r w:rsidRPr="0013064C">
        <w:rPr>
          <w:rFonts w:cs="Arial"/>
          <w:sz w:val="24"/>
          <w:szCs w:val="24"/>
        </w:rPr>
        <w:t xml:space="preserve"> </w:t>
      </w:r>
      <w:r w:rsidR="00581E59" w:rsidRPr="0013064C">
        <w:rPr>
          <w:rFonts w:cs="Arial"/>
          <w:sz w:val="24"/>
          <w:szCs w:val="24"/>
        </w:rPr>
        <w:t>Statistical inference from non-inferiority and equivalence trials should be based upon an assessment of confidence intervals and whether they do or do not cross the non-inferiority/equivalence margins.</w:t>
      </w:r>
      <w:r w:rsidRPr="0013064C">
        <w:rPr>
          <w:rFonts w:cs="Arial"/>
          <w:sz w:val="24"/>
          <w:szCs w:val="24"/>
        </w:rPr>
        <w:t xml:space="preserve"> </w:t>
      </w:r>
      <w:r w:rsidR="00581E59" w:rsidRPr="0013064C">
        <w:rPr>
          <w:rFonts w:cs="Arial"/>
          <w:sz w:val="24"/>
          <w:szCs w:val="24"/>
        </w:rPr>
        <w:t xml:space="preserve"> In cases where either a clinical equivalence or non-inferiority study shows that trial technology is statistically inferior (compared to the non-inferior bound) then clinical equivalence or non-inferiority can be ruled out. </w:t>
      </w:r>
    </w:p>
    <w:p w14:paraId="6EB7D735" w14:textId="77777777" w:rsidR="00581E59" w:rsidRPr="0013064C" w:rsidRDefault="00581E59" w:rsidP="001B6832">
      <w:pPr>
        <w:pStyle w:val="ReportText"/>
        <w:ind w:left="851" w:hanging="851"/>
        <w:jc w:val="left"/>
        <w:rPr>
          <w:rFonts w:cs="Arial"/>
          <w:sz w:val="24"/>
          <w:szCs w:val="24"/>
        </w:rPr>
      </w:pPr>
    </w:p>
    <w:p w14:paraId="084E5532" w14:textId="3061AF64" w:rsidR="002F1A7F" w:rsidRPr="0013064C" w:rsidRDefault="002F1A7F" w:rsidP="001B6832">
      <w:pPr>
        <w:pStyle w:val="ReportText"/>
        <w:numPr>
          <w:ilvl w:val="0"/>
          <w:numId w:val="4"/>
        </w:numPr>
        <w:ind w:left="851" w:hanging="851"/>
        <w:jc w:val="left"/>
        <w:rPr>
          <w:rFonts w:cs="Arial"/>
          <w:sz w:val="24"/>
          <w:szCs w:val="24"/>
        </w:rPr>
      </w:pPr>
      <w:r w:rsidRPr="0013064C">
        <w:rPr>
          <w:rFonts w:cs="Arial"/>
          <w:sz w:val="24"/>
          <w:szCs w:val="24"/>
        </w:rPr>
        <w:t>Failure to reject the null hypothesis of no difference between a new and existing technology from a superiority trial should in no circumstances be interpreted as evidence that the new technology is non-inferior or equivalent to an existing technology.  Data from superiority trials can be repurposed to test for non-inferiority but particular scrutiny will be required on how post trial non-inferiority margins have been set given the bias that could arise from not setting the margins pre-trial.</w:t>
      </w:r>
      <w:r w:rsidR="00DE6300" w:rsidRPr="0013064C">
        <w:rPr>
          <w:rFonts w:cs="Arial"/>
          <w:sz w:val="24"/>
          <w:szCs w:val="24"/>
        </w:rPr>
        <w:t xml:space="preserve">  Non-trial evidence on non-inferiority or equivalence will likely be more important to the assessment of non-inferiority or equivalence than may be the case if a non-inferiority or equivalence trial had been undertaken.  This should be clearly reflected in the characterisation and assessment of uncertainty in the economic evaluation.</w:t>
      </w:r>
    </w:p>
    <w:p w14:paraId="402713D7" w14:textId="77777777" w:rsidR="002F1A7F" w:rsidRPr="0013064C" w:rsidRDefault="002F1A7F" w:rsidP="001B6832">
      <w:pPr>
        <w:pStyle w:val="ListParagraph"/>
        <w:jc w:val="left"/>
        <w:rPr>
          <w:rFonts w:cs="Arial"/>
          <w:sz w:val="24"/>
        </w:rPr>
      </w:pPr>
    </w:p>
    <w:p w14:paraId="1DC804D1" w14:textId="22B177A2" w:rsidR="00581E59" w:rsidRPr="0013064C" w:rsidRDefault="00581E59" w:rsidP="001B6832">
      <w:pPr>
        <w:pStyle w:val="ReportText"/>
        <w:numPr>
          <w:ilvl w:val="0"/>
          <w:numId w:val="4"/>
        </w:numPr>
        <w:ind w:left="851" w:hanging="851"/>
        <w:jc w:val="left"/>
        <w:rPr>
          <w:rFonts w:cs="Arial"/>
          <w:sz w:val="24"/>
          <w:szCs w:val="24"/>
        </w:rPr>
      </w:pPr>
      <w:r w:rsidRPr="0013064C">
        <w:rPr>
          <w:rFonts w:cs="Arial"/>
          <w:sz w:val="24"/>
          <w:szCs w:val="24"/>
        </w:rPr>
        <w:t>Reporting of non-inferiority or equivalence trials should be assessed against the CONSORT checklist for such studies</w:t>
      </w:r>
      <w:r w:rsidR="004A204D" w:rsidRPr="0013064C">
        <w:rPr>
          <w:rFonts w:cs="Arial"/>
          <w:sz w:val="24"/>
          <w:szCs w:val="24"/>
        </w:rPr>
        <w:t xml:space="preserve"> published in 2012</w:t>
      </w:r>
      <w:r w:rsidRPr="0013064C">
        <w:rPr>
          <w:rFonts w:cs="Arial"/>
          <w:sz w:val="24"/>
          <w:szCs w:val="24"/>
        </w:rPr>
        <w:t xml:space="preserve">. </w:t>
      </w:r>
      <w:r w:rsidR="00D134C2" w:rsidRPr="0013064C">
        <w:rPr>
          <w:rFonts w:cs="Arial"/>
          <w:sz w:val="24"/>
          <w:szCs w:val="24"/>
        </w:rPr>
        <w:t xml:space="preserve"> </w:t>
      </w:r>
      <w:r w:rsidRPr="0013064C">
        <w:rPr>
          <w:rFonts w:cs="Arial"/>
          <w:sz w:val="24"/>
          <w:szCs w:val="24"/>
        </w:rPr>
        <w:t xml:space="preserve">Given the importance of quality of non-inferiority and equivalence trials, studies that do not provide all the information required on the CONSORT checklist </w:t>
      </w:r>
      <w:r w:rsidRPr="0013064C">
        <w:rPr>
          <w:rFonts w:cs="Arial"/>
          <w:sz w:val="24"/>
          <w:szCs w:val="24"/>
        </w:rPr>
        <w:lastRenderedPageBreak/>
        <w:t xml:space="preserve">should be considered low quality. </w:t>
      </w:r>
      <w:r w:rsidR="002F1A7F" w:rsidRPr="0013064C">
        <w:rPr>
          <w:rFonts w:cs="Arial"/>
          <w:sz w:val="24"/>
          <w:szCs w:val="24"/>
        </w:rPr>
        <w:t>Where</w:t>
      </w:r>
      <w:r w:rsidR="008C551B" w:rsidRPr="0013064C">
        <w:rPr>
          <w:rFonts w:cs="Arial"/>
          <w:sz w:val="24"/>
          <w:szCs w:val="24"/>
        </w:rPr>
        <w:t xml:space="preserve"> data to test for non-inferiority or equivalence </w:t>
      </w:r>
      <w:r w:rsidR="009A4724" w:rsidRPr="0013064C">
        <w:rPr>
          <w:rFonts w:cs="Arial"/>
          <w:sz w:val="24"/>
          <w:szCs w:val="24"/>
        </w:rPr>
        <w:t>is taken from</w:t>
      </w:r>
      <w:r w:rsidR="002F1A7F" w:rsidRPr="0013064C">
        <w:rPr>
          <w:rFonts w:cs="Arial"/>
          <w:sz w:val="24"/>
          <w:szCs w:val="24"/>
        </w:rPr>
        <w:t xml:space="preserve"> a superio</w:t>
      </w:r>
      <w:r w:rsidR="00E0382A" w:rsidRPr="0013064C">
        <w:rPr>
          <w:rFonts w:cs="Arial"/>
          <w:sz w:val="24"/>
          <w:szCs w:val="24"/>
        </w:rPr>
        <w:t>rity</w:t>
      </w:r>
      <w:r w:rsidR="009A4724" w:rsidRPr="0013064C">
        <w:rPr>
          <w:rFonts w:cs="Arial"/>
          <w:sz w:val="24"/>
          <w:szCs w:val="24"/>
        </w:rPr>
        <w:t xml:space="preserve"> trial, the </w:t>
      </w:r>
      <w:r w:rsidR="00AA2B38" w:rsidRPr="0013064C">
        <w:rPr>
          <w:rFonts w:cs="Arial"/>
          <w:sz w:val="24"/>
          <w:szCs w:val="24"/>
        </w:rPr>
        <w:t>CONSORT checklist for non-inferiority or equivalence trials should also be used, noting that the trial may perform poorly against elements on the checklist relating to setting of non-inferiority margins</w:t>
      </w:r>
      <w:r w:rsidR="00DE6300" w:rsidRPr="0013064C">
        <w:rPr>
          <w:rFonts w:cs="Arial"/>
          <w:sz w:val="24"/>
          <w:szCs w:val="24"/>
        </w:rPr>
        <w:t xml:space="preserve">, </w:t>
      </w:r>
      <w:r w:rsidR="00AA2B38" w:rsidRPr="0013064C">
        <w:rPr>
          <w:rFonts w:cs="Arial"/>
          <w:sz w:val="24"/>
          <w:szCs w:val="24"/>
        </w:rPr>
        <w:t>sample size</w:t>
      </w:r>
      <w:r w:rsidR="00DE6300" w:rsidRPr="0013064C">
        <w:rPr>
          <w:rFonts w:cs="Arial"/>
          <w:sz w:val="24"/>
          <w:szCs w:val="24"/>
        </w:rPr>
        <w:t xml:space="preserve"> and participant flow</w:t>
      </w:r>
      <w:r w:rsidR="00AA2B38" w:rsidRPr="0013064C">
        <w:rPr>
          <w:rFonts w:cs="Arial"/>
          <w:sz w:val="24"/>
          <w:szCs w:val="24"/>
        </w:rPr>
        <w:t xml:space="preserve">. </w:t>
      </w:r>
      <w:r w:rsidR="00E0382A" w:rsidRPr="0013064C">
        <w:rPr>
          <w:rFonts w:cs="Arial"/>
          <w:sz w:val="24"/>
          <w:szCs w:val="24"/>
        </w:rPr>
        <w:t xml:space="preserve"> </w:t>
      </w:r>
    </w:p>
    <w:p w14:paraId="11872801" w14:textId="77777777" w:rsidR="00581E59" w:rsidRPr="0013064C" w:rsidRDefault="00581E59" w:rsidP="001B6832">
      <w:pPr>
        <w:pStyle w:val="ReportText"/>
        <w:jc w:val="left"/>
        <w:rPr>
          <w:rFonts w:cs="Arial"/>
          <w:sz w:val="24"/>
          <w:szCs w:val="24"/>
        </w:rPr>
      </w:pPr>
    </w:p>
    <w:p w14:paraId="09166F8E" w14:textId="0B315BF2" w:rsidR="00581E59" w:rsidRPr="0013064C" w:rsidRDefault="00581E59" w:rsidP="001B6832">
      <w:pPr>
        <w:pStyle w:val="ReportText"/>
        <w:numPr>
          <w:ilvl w:val="0"/>
          <w:numId w:val="4"/>
        </w:numPr>
        <w:ind w:left="851" w:hanging="851"/>
        <w:jc w:val="left"/>
        <w:rPr>
          <w:rFonts w:cs="Arial"/>
          <w:sz w:val="24"/>
          <w:szCs w:val="24"/>
        </w:rPr>
      </w:pPr>
      <w:r w:rsidRPr="0013064C">
        <w:rPr>
          <w:rFonts w:cs="Arial"/>
          <w:sz w:val="24"/>
          <w:szCs w:val="24"/>
        </w:rPr>
        <w:t>Where evidence synthesis across trials is performed in the form of a meta-analysis or some form of an indirect treatment comparison, superiority, non-inferiority and equivalence trials may be included in the synthesis, but a test for non-inferiority or equivalence</w:t>
      </w:r>
      <w:r w:rsidR="00335E25" w:rsidRPr="0013064C">
        <w:rPr>
          <w:rFonts w:cs="Arial"/>
          <w:sz w:val="24"/>
          <w:szCs w:val="24"/>
        </w:rPr>
        <w:t xml:space="preserve"> between the new technology and comparator technologies</w:t>
      </w:r>
      <w:r w:rsidRPr="0013064C">
        <w:rPr>
          <w:rFonts w:cs="Arial"/>
          <w:sz w:val="24"/>
          <w:szCs w:val="24"/>
        </w:rPr>
        <w:t xml:space="preserve"> will still require a non-inferiority margin to be defined.</w:t>
      </w:r>
    </w:p>
    <w:p w14:paraId="3CC24F1C" w14:textId="77777777" w:rsidR="00581E59" w:rsidRPr="0013064C" w:rsidRDefault="00581E59" w:rsidP="001B6832">
      <w:pPr>
        <w:pStyle w:val="ReportText"/>
        <w:ind w:left="851" w:hanging="851"/>
        <w:jc w:val="left"/>
        <w:rPr>
          <w:rFonts w:cs="Arial"/>
          <w:sz w:val="24"/>
          <w:szCs w:val="24"/>
        </w:rPr>
      </w:pPr>
    </w:p>
    <w:p w14:paraId="7458CF65" w14:textId="12569FAE" w:rsidR="00025DCB" w:rsidRPr="0013064C" w:rsidRDefault="00581E59" w:rsidP="001B6832">
      <w:pPr>
        <w:pStyle w:val="ReportText"/>
        <w:numPr>
          <w:ilvl w:val="0"/>
          <w:numId w:val="4"/>
        </w:numPr>
        <w:ind w:left="851" w:hanging="851"/>
        <w:jc w:val="left"/>
        <w:rPr>
          <w:rFonts w:cs="Arial"/>
          <w:sz w:val="24"/>
          <w:szCs w:val="24"/>
        </w:rPr>
      </w:pPr>
      <w:r w:rsidRPr="0013064C">
        <w:rPr>
          <w:rFonts w:cs="Arial"/>
          <w:sz w:val="24"/>
          <w:szCs w:val="24"/>
        </w:rPr>
        <w:t>The method of determining a non-inferiority margin should be based upon a historical appraisal of evidence on the effectiveness of the active comparator</w:t>
      </w:r>
      <w:r w:rsidR="0054366E" w:rsidRPr="0013064C">
        <w:rPr>
          <w:rFonts w:cs="Arial"/>
          <w:sz w:val="24"/>
          <w:szCs w:val="24"/>
        </w:rPr>
        <w:t>, preferably through a statistical appraisal of variance in effectiveness</w:t>
      </w:r>
      <w:r w:rsidRPr="0013064C">
        <w:rPr>
          <w:rFonts w:cs="Arial"/>
          <w:sz w:val="24"/>
          <w:szCs w:val="24"/>
        </w:rPr>
        <w:t xml:space="preserve">. </w:t>
      </w:r>
      <w:r w:rsidR="0054366E" w:rsidRPr="0013064C">
        <w:rPr>
          <w:rFonts w:cs="Arial"/>
          <w:sz w:val="24"/>
          <w:szCs w:val="24"/>
        </w:rPr>
        <w:t>The preserved fraction of effectiveness</w:t>
      </w:r>
      <w:r w:rsidR="004A204D" w:rsidRPr="0013064C">
        <w:rPr>
          <w:rFonts w:cs="Arial"/>
          <w:sz w:val="24"/>
          <w:szCs w:val="24"/>
        </w:rPr>
        <w:t>, if a factor in the margin</w:t>
      </w:r>
      <w:r w:rsidR="00155F06" w:rsidRPr="0013064C">
        <w:rPr>
          <w:rFonts w:cs="Arial"/>
          <w:sz w:val="24"/>
          <w:szCs w:val="24"/>
        </w:rPr>
        <w:t>,</w:t>
      </w:r>
      <w:r w:rsidR="0054366E" w:rsidRPr="0013064C">
        <w:rPr>
          <w:rFonts w:cs="Arial"/>
          <w:sz w:val="24"/>
          <w:szCs w:val="24"/>
        </w:rPr>
        <w:t xml:space="preserve"> should </w:t>
      </w:r>
      <w:r w:rsidR="00025DCB" w:rsidRPr="0013064C">
        <w:rPr>
          <w:rFonts w:cs="Arial"/>
          <w:sz w:val="24"/>
          <w:szCs w:val="24"/>
        </w:rPr>
        <w:t xml:space="preserve">be </w:t>
      </w:r>
      <w:r w:rsidR="0054366E" w:rsidRPr="0013064C">
        <w:rPr>
          <w:rFonts w:cs="Arial"/>
          <w:sz w:val="24"/>
          <w:szCs w:val="24"/>
        </w:rPr>
        <w:t>determined</w:t>
      </w:r>
      <w:r w:rsidR="00025DCB" w:rsidRPr="0013064C">
        <w:rPr>
          <w:rFonts w:cs="Arial"/>
          <w:sz w:val="24"/>
          <w:szCs w:val="24"/>
        </w:rPr>
        <w:t xml:space="preserve"> by clinicians.</w:t>
      </w:r>
      <w:r w:rsidR="0054366E" w:rsidRPr="0013064C">
        <w:rPr>
          <w:rFonts w:cs="Arial"/>
          <w:sz w:val="24"/>
          <w:szCs w:val="24"/>
        </w:rPr>
        <w:t xml:space="preserve"> </w:t>
      </w:r>
      <w:r w:rsidR="00FC7DB1" w:rsidRPr="0013064C">
        <w:rPr>
          <w:rFonts w:cs="Arial"/>
          <w:sz w:val="24"/>
          <w:szCs w:val="24"/>
        </w:rPr>
        <w:t xml:space="preserve">For example, the EVEREST II trial for the </w:t>
      </w:r>
      <w:proofErr w:type="spellStart"/>
      <w:r w:rsidR="00FC7DB1" w:rsidRPr="0013064C">
        <w:rPr>
          <w:rFonts w:cs="Arial"/>
          <w:sz w:val="24"/>
          <w:szCs w:val="24"/>
        </w:rPr>
        <w:t>MitraClip</w:t>
      </w:r>
      <w:proofErr w:type="spellEnd"/>
      <w:r w:rsidR="00FC7DB1" w:rsidRPr="0013064C">
        <w:rPr>
          <w:rFonts w:cs="Arial"/>
          <w:sz w:val="24"/>
          <w:szCs w:val="24"/>
        </w:rPr>
        <w:t xml:space="preserve"> device versus mitral valve surgery for mitral regurgitation used clinical judgement to determine an acceptable inferiority margin for </w:t>
      </w:r>
      <w:proofErr w:type="spellStart"/>
      <w:r w:rsidR="00FC7DB1" w:rsidRPr="0013064C">
        <w:rPr>
          <w:rFonts w:cs="Arial"/>
          <w:sz w:val="24"/>
          <w:szCs w:val="24"/>
        </w:rPr>
        <w:t>MitraClip</w:t>
      </w:r>
      <w:proofErr w:type="spellEnd"/>
      <w:r w:rsidR="00FC7DB1" w:rsidRPr="0013064C">
        <w:rPr>
          <w:rFonts w:cs="Arial"/>
          <w:sz w:val="24"/>
          <w:szCs w:val="24"/>
        </w:rPr>
        <w:t xml:space="preserve"> for the primary outcome (death, future surgery or continued mitral regurgitation) over the superiority of mitral valve surgery over placebo.</w:t>
      </w:r>
    </w:p>
    <w:p w14:paraId="2EA3B8D7" w14:textId="77777777" w:rsidR="004A204D" w:rsidRPr="0013064C" w:rsidRDefault="004A204D" w:rsidP="001B6832">
      <w:pPr>
        <w:pStyle w:val="ReportText"/>
        <w:ind w:left="851" w:hanging="851"/>
        <w:jc w:val="left"/>
        <w:rPr>
          <w:rFonts w:cs="Arial"/>
          <w:sz w:val="24"/>
          <w:szCs w:val="24"/>
        </w:rPr>
      </w:pPr>
    </w:p>
    <w:p w14:paraId="0561CBAD" w14:textId="5BD3403E" w:rsidR="00581E59" w:rsidRPr="0013064C" w:rsidRDefault="00581E59" w:rsidP="001B6832">
      <w:pPr>
        <w:pStyle w:val="ReportText"/>
        <w:numPr>
          <w:ilvl w:val="0"/>
          <w:numId w:val="4"/>
        </w:numPr>
        <w:ind w:left="851" w:hanging="851"/>
        <w:jc w:val="left"/>
        <w:rPr>
          <w:rFonts w:cs="Arial"/>
          <w:sz w:val="24"/>
          <w:szCs w:val="24"/>
        </w:rPr>
      </w:pPr>
      <w:r w:rsidRPr="0013064C">
        <w:rPr>
          <w:rFonts w:cs="Arial"/>
          <w:sz w:val="24"/>
          <w:szCs w:val="24"/>
        </w:rPr>
        <w:t>Regardless of the method to derive the margin, the margin needs to have been set so that it reflects no clinical</w:t>
      </w:r>
      <w:r w:rsidR="00115565" w:rsidRPr="0013064C">
        <w:rPr>
          <w:rFonts w:cs="Arial"/>
          <w:sz w:val="24"/>
          <w:szCs w:val="24"/>
        </w:rPr>
        <w:t>ly</w:t>
      </w:r>
      <w:r w:rsidRPr="0013064C">
        <w:rPr>
          <w:rFonts w:cs="Arial"/>
          <w:sz w:val="24"/>
          <w:szCs w:val="24"/>
        </w:rPr>
        <w:t xml:space="preserve"> meaningful change in patient outcomes.</w:t>
      </w:r>
      <w:r w:rsidR="004A204D" w:rsidRPr="0013064C">
        <w:rPr>
          <w:rFonts w:cs="Arial"/>
          <w:sz w:val="24"/>
          <w:szCs w:val="24"/>
        </w:rPr>
        <w:t xml:space="preserve"> </w:t>
      </w:r>
      <w:r w:rsidR="00155F06" w:rsidRPr="0013064C">
        <w:rPr>
          <w:rFonts w:cs="Arial"/>
          <w:sz w:val="24"/>
          <w:szCs w:val="24"/>
        </w:rPr>
        <w:t xml:space="preserve"> There should be no trade-off in setting the margin or preserved fraction against perceived other benefits of the new technology</w:t>
      </w:r>
      <w:r w:rsidRPr="0013064C">
        <w:rPr>
          <w:rFonts w:cs="Arial"/>
          <w:sz w:val="24"/>
          <w:szCs w:val="24"/>
        </w:rPr>
        <w:t xml:space="preserve">. </w:t>
      </w:r>
      <w:r w:rsidR="00155F06" w:rsidRPr="0013064C">
        <w:rPr>
          <w:rFonts w:cs="Arial"/>
          <w:sz w:val="24"/>
          <w:szCs w:val="24"/>
        </w:rPr>
        <w:t xml:space="preserve"> It may be that the</w:t>
      </w:r>
      <w:r w:rsidR="004A204D" w:rsidRPr="0013064C">
        <w:rPr>
          <w:rFonts w:cs="Arial"/>
          <w:sz w:val="24"/>
          <w:szCs w:val="24"/>
        </w:rPr>
        <w:t xml:space="preserve"> preserved fraction</w:t>
      </w:r>
      <w:r w:rsidR="00155F06" w:rsidRPr="0013064C">
        <w:rPr>
          <w:rFonts w:cs="Arial"/>
          <w:sz w:val="24"/>
          <w:szCs w:val="24"/>
        </w:rPr>
        <w:t xml:space="preserve"> is considered too small or too large or it</w:t>
      </w:r>
      <w:r w:rsidR="004A204D" w:rsidRPr="0013064C">
        <w:rPr>
          <w:rFonts w:cs="Arial"/>
          <w:sz w:val="24"/>
          <w:szCs w:val="24"/>
        </w:rPr>
        <w:t xml:space="preserve"> may be considered by a committee </w:t>
      </w:r>
      <w:r w:rsidR="00155F06" w:rsidRPr="0013064C">
        <w:rPr>
          <w:rFonts w:cs="Arial"/>
          <w:sz w:val="24"/>
          <w:szCs w:val="24"/>
        </w:rPr>
        <w:t>that any preserved fraction is</w:t>
      </w:r>
      <w:r w:rsidR="004A204D" w:rsidRPr="0013064C">
        <w:rPr>
          <w:rFonts w:cs="Arial"/>
          <w:sz w:val="24"/>
          <w:szCs w:val="24"/>
        </w:rPr>
        <w:t xml:space="preserve"> unacceptable.</w:t>
      </w:r>
      <w:r w:rsidR="00115565" w:rsidRPr="0013064C">
        <w:rPr>
          <w:rFonts w:cs="Arial"/>
          <w:sz w:val="24"/>
          <w:szCs w:val="24"/>
        </w:rPr>
        <w:t xml:space="preserve"> </w:t>
      </w:r>
      <w:r w:rsidR="004A204D" w:rsidRPr="0013064C">
        <w:rPr>
          <w:rFonts w:cs="Arial"/>
          <w:sz w:val="24"/>
          <w:szCs w:val="24"/>
        </w:rPr>
        <w:t xml:space="preserve"> </w:t>
      </w:r>
      <w:r w:rsidRPr="0013064C">
        <w:rPr>
          <w:rFonts w:cs="Arial"/>
          <w:sz w:val="24"/>
          <w:szCs w:val="24"/>
        </w:rPr>
        <w:t xml:space="preserve">In such cases, the margin will need to be redefined based upon what is considered a true clinically insignificant change in outcomes which may in turn mean that the sample size is insufficiently powered to detect whether the new technology is actually non-inferior. </w:t>
      </w:r>
    </w:p>
    <w:p w14:paraId="13CF71E9" w14:textId="77777777" w:rsidR="00581E59" w:rsidRPr="0013064C" w:rsidRDefault="00581E59" w:rsidP="001B6832">
      <w:pPr>
        <w:pStyle w:val="ReportText"/>
        <w:ind w:left="851" w:hanging="851"/>
        <w:jc w:val="left"/>
        <w:rPr>
          <w:rFonts w:cs="Arial"/>
          <w:sz w:val="24"/>
          <w:szCs w:val="24"/>
        </w:rPr>
      </w:pPr>
    </w:p>
    <w:p w14:paraId="1851A4C1" w14:textId="5B02E60C" w:rsidR="00581E59" w:rsidRPr="0013064C" w:rsidRDefault="00581E59" w:rsidP="001B6832">
      <w:pPr>
        <w:pStyle w:val="ReportText"/>
        <w:numPr>
          <w:ilvl w:val="0"/>
          <w:numId w:val="4"/>
        </w:numPr>
        <w:ind w:left="851" w:hanging="851"/>
        <w:jc w:val="left"/>
        <w:rPr>
          <w:rFonts w:cs="Arial"/>
          <w:sz w:val="24"/>
          <w:szCs w:val="24"/>
        </w:rPr>
      </w:pPr>
      <w:r w:rsidRPr="0013064C">
        <w:rPr>
          <w:rFonts w:cs="Arial"/>
          <w:sz w:val="24"/>
          <w:szCs w:val="24"/>
        </w:rPr>
        <w:t>In assessing non-inferiority and equivalence evidence on diagnostic tests, the same considerations on equivalence and non-inferiority apply</w:t>
      </w:r>
      <w:r w:rsidR="005F7C88" w:rsidRPr="0013064C">
        <w:rPr>
          <w:rFonts w:cs="Arial"/>
          <w:sz w:val="24"/>
          <w:szCs w:val="24"/>
        </w:rPr>
        <w:t xml:space="preserve"> as for other technologies</w:t>
      </w:r>
      <w:r w:rsidRPr="0013064C">
        <w:rPr>
          <w:rFonts w:cs="Arial"/>
          <w:sz w:val="24"/>
          <w:szCs w:val="24"/>
        </w:rPr>
        <w:t xml:space="preserve">. However, evidence on the equivalence and non-inferiority for both sensitivity and specificity or tests will be required. The only circumstances where this would not be the case would be where either specificity or sensitivity had no bearing on outcomes for patients beyond incurring potential further test costs. Statistical methods are available to </w:t>
      </w:r>
      <w:r w:rsidRPr="0013064C">
        <w:rPr>
          <w:rFonts w:cs="Arial"/>
          <w:sz w:val="24"/>
          <w:szCs w:val="24"/>
        </w:rPr>
        <w:lastRenderedPageBreak/>
        <w:t xml:space="preserve">report the non-inferiority of sensitivity and specificity jointly. </w:t>
      </w:r>
      <w:r w:rsidR="004A204D" w:rsidRPr="0013064C">
        <w:rPr>
          <w:rFonts w:cs="Arial"/>
          <w:sz w:val="24"/>
          <w:szCs w:val="24"/>
        </w:rPr>
        <w:t xml:space="preserve"> </w:t>
      </w:r>
      <w:r w:rsidR="00155F06" w:rsidRPr="0013064C">
        <w:rPr>
          <w:rFonts w:cs="Arial"/>
          <w:sz w:val="24"/>
          <w:szCs w:val="24"/>
        </w:rPr>
        <w:t>Unless a compelling reason can be presented as to why joint testing should be undertaken and, in the case of an assessment of a ROC curve, the non-inferiority margin c</w:t>
      </w:r>
      <w:r w:rsidR="008C3EB3" w:rsidRPr="0013064C">
        <w:rPr>
          <w:rFonts w:cs="Arial"/>
          <w:sz w:val="24"/>
          <w:szCs w:val="24"/>
        </w:rPr>
        <w:t>a</w:t>
      </w:r>
      <w:r w:rsidR="00155F06" w:rsidRPr="0013064C">
        <w:rPr>
          <w:rFonts w:cs="Arial"/>
          <w:sz w:val="24"/>
          <w:szCs w:val="24"/>
        </w:rPr>
        <w:t>n be transparently described and justified</w:t>
      </w:r>
      <w:r w:rsidR="00A91D80" w:rsidRPr="0013064C">
        <w:rPr>
          <w:rFonts w:cs="Arial"/>
          <w:sz w:val="24"/>
          <w:szCs w:val="24"/>
        </w:rPr>
        <w:t xml:space="preserve"> in terms of false negatives and false pos</w:t>
      </w:r>
      <w:r w:rsidR="008C3EB3" w:rsidRPr="0013064C">
        <w:rPr>
          <w:rFonts w:cs="Arial"/>
          <w:sz w:val="24"/>
          <w:szCs w:val="24"/>
        </w:rPr>
        <w:t>iti</w:t>
      </w:r>
      <w:r w:rsidR="00A91D80" w:rsidRPr="0013064C">
        <w:rPr>
          <w:rFonts w:cs="Arial"/>
          <w:sz w:val="24"/>
          <w:szCs w:val="24"/>
        </w:rPr>
        <w:t>ves</w:t>
      </w:r>
      <w:r w:rsidR="00155F06" w:rsidRPr="0013064C">
        <w:rPr>
          <w:rFonts w:cs="Arial"/>
          <w:sz w:val="24"/>
          <w:szCs w:val="24"/>
        </w:rPr>
        <w:t xml:space="preserve">, </w:t>
      </w:r>
      <w:r w:rsidRPr="0013064C">
        <w:rPr>
          <w:rFonts w:cs="Arial"/>
          <w:sz w:val="24"/>
          <w:szCs w:val="24"/>
        </w:rPr>
        <w:t>separate tests of sensitivity and specificity are by design more transparent and easier to interpret</w:t>
      </w:r>
      <w:r w:rsidR="00155F06" w:rsidRPr="0013064C">
        <w:rPr>
          <w:rFonts w:cs="Arial"/>
          <w:sz w:val="24"/>
          <w:szCs w:val="24"/>
        </w:rPr>
        <w:t xml:space="preserve"> and should be preferred to joint tests.</w:t>
      </w:r>
      <w:r w:rsidRPr="0013064C">
        <w:rPr>
          <w:rFonts w:cs="Arial"/>
          <w:sz w:val="24"/>
          <w:szCs w:val="24"/>
        </w:rPr>
        <w:t xml:space="preserve"> </w:t>
      </w:r>
    </w:p>
    <w:p w14:paraId="28535E7B" w14:textId="77777777" w:rsidR="004839CE" w:rsidRPr="0013064C" w:rsidRDefault="004839CE" w:rsidP="001B6832">
      <w:pPr>
        <w:pStyle w:val="ListParagraph"/>
        <w:jc w:val="left"/>
        <w:rPr>
          <w:rFonts w:cs="Arial"/>
          <w:sz w:val="24"/>
        </w:rPr>
      </w:pPr>
    </w:p>
    <w:p w14:paraId="19402FB5" w14:textId="1E5EF398" w:rsidR="004839CE" w:rsidRPr="0013064C" w:rsidRDefault="004839CE" w:rsidP="001B6832">
      <w:pPr>
        <w:pStyle w:val="ReportText"/>
        <w:numPr>
          <w:ilvl w:val="0"/>
          <w:numId w:val="4"/>
        </w:numPr>
        <w:ind w:left="851" w:hanging="851"/>
        <w:jc w:val="left"/>
        <w:rPr>
          <w:rFonts w:cs="Arial"/>
          <w:sz w:val="24"/>
          <w:szCs w:val="24"/>
        </w:rPr>
      </w:pPr>
      <w:r w:rsidRPr="0013064C">
        <w:rPr>
          <w:rFonts w:cs="Arial"/>
          <w:sz w:val="24"/>
          <w:szCs w:val="24"/>
        </w:rPr>
        <w:t>For</w:t>
      </w:r>
      <w:r w:rsidR="0033785B" w:rsidRPr="0013064C">
        <w:rPr>
          <w:rFonts w:cs="Arial"/>
          <w:sz w:val="24"/>
          <w:szCs w:val="24"/>
        </w:rPr>
        <w:t xml:space="preserve"> non-inferiority or equivalence testing of</w:t>
      </w:r>
      <w:r w:rsidRPr="0013064C">
        <w:rPr>
          <w:rFonts w:cs="Arial"/>
          <w:sz w:val="24"/>
          <w:szCs w:val="24"/>
        </w:rPr>
        <w:t xml:space="preserve"> diagnostic </w:t>
      </w:r>
      <w:r w:rsidR="0033785B" w:rsidRPr="0013064C">
        <w:rPr>
          <w:rFonts w:cs="Arial"/>
          <w:sz w:val="24"/>
          <w:szCs w:val="24"/>
        </w:rPr>
        <w:t>technologies</w:t>
      </w:r>
      <w:r w:rsidRPr="0013064C">
        <w:rPr>
          <w:rFonts w:cs="Arial"/>
          <w:sz w:val="24"/>
          <w:szCs w:val="24"/>
        </w:rPr>
        <w:t xml:space="preserve"> with categorical or continuous results, it would be acceptable to use for categorical t</w:t>
      </w:r>
      <w:r w:rsidR="0033785B" w:rsidRPr="0013064C">
        <w:rPr>
          <w:rFonts w:cs="Arial"/>
          <w:sz w:val="24"/>
          <w:szCs w:val="24"/>
        </w:rPr>
        <w:t>ests</w:t>
      </w:r>
      <w:r w:rsidRPr="0013064C">
        <w:rPr>
          <w:rFonts w:cs="Arial"/>
          <w:sz w:val="24"/>
          <w:szCs w:val="24"/>
        </w:rPr>
        <w:t xml:space="preserve"> Cohen’s kappa or for continuous tests Passing-</w:t>
      </w:r>
      <w:proofErr w:type="spellStart"/>
      <w:r w:rsidRPr="0013064C">
        <w:rPr>
          <w:rFonts w:cs="Arial"/>
          <w:sz w:val="24"/>
          <w:szCs w:val="24"/>
        </w:rPr>
        <w:t>Bablok</w:t>
      </w:r>
      <w:proofErr w:type="spellEnd"/>
      <w:r w:rsidRPr="0013064C">
        <w:rPr>
          <w:rFonts w:cs="Arial"/>
          <w:sz w:val="24"/>
          <w:szCs w:val="24"/>
        </w:rPr>
        <w:t xml:space="preserve"> regression or Bland and Altman plots.  However, as in all other cases of non-inferiority and equivalence testing the non-inferiority margins applied must represent a clinically acceptable difference and be justified.    </w:t>
      </w:r>
    </w:p>
    <w:p w14:paraId="68AA365B" w14:textId="77777777" w:rsidR="00115565" w:rsidRPr="0013064C" w:rsidRDefault="00115565" w:rsidP="001B6832">
      <w:pPr>
        <w:pStyle w:val="ListParagraph"/>
        <w:jc w:val="left"/>
        <w:rPr>
          <w:rFonts w:cs="Arial"/>
          <w:sz w:val="24"/>
        </w:rPr>
      </w:pPr>
    </w:p>
    <w:p w14:paraId="7C2A88B7" w14:textId="7816B9DD" w:rsidR="00115565" w:rsidRPr="0013064C" w:rsidRDefault="008C3EB3" w:rsidP="001B6832">
      <w:pPr>
        <w:pStyle w:val="ReportText"/>
        <w:numPr>
          <w:ilvl w:val="0"/>
          <w:numId w:val="4"/>
        </w:numPr>
        <w:ind w:left="851" w:hanging="851"/>
        <w:jc w:val="left"/>
        <w:rPr>
          <w:rFonts w:cs="Arial"/>
          <w:sz w:val="24"/>
          <w:szCs w:val="24"/>
        </w:rPr>
      </w:pPr>
      <w:r w:rsidRPr="0013064C">
        <w:rPr>
          <w:rFonts w:cs="Arial"/>
          <w:sz w:val="24"/>
          <w:szCs w:val="24"/>
        </w:rPr>
        <w:t>D</w:t>
      </w:r>
      <w:r w:rsidR="00115565" w:rsidRPr="0013064C">
        <w:rPr>
          <w:rFonts w:cs="Arial"/>
          <w:sz w:val="24"/>
          <w:szCs w:val="24"/>
        </w:rPr>
        <w:t xml:space="preserve">ue consideration should be given to the </w:t>
      </w:r>
      <w:r w:rsidRPr="0013064C">
        <w:rPr>
          <w:rFonts w:cs="Arial"/>
          <w:sz w:val="24"/>
          <w:szCs w:val="24"/>
        </w:rPr>
        <w:t>uncertainty in non-inferiority or equivalence evidence presented.  Both an ITT and PP analysis of non-inferiority and equivalence trials should be performed and the impact of different methods of dealing with missing data should be reported</w:t>
      </w:r>
      <w:r w:rsidR="00115565" w:rsidRPr="0013064C">
        <w:rPr>
          <w:rFonts w:cs="Arial"/>
          <w:sz w:val="24"/>
          <w:szCs w:val="24"/>
        </w:rPr>
        <w:t xml:space="preserve">.  </w:t>
      </w:r>
    </w:p>
    <w:p w14:paraId="51C13DE4" w14:textId="77777777" w:rsidR="00581E59" w:rsidRPr="0013064C" w:rsidRDefault="00581E59" w:rsidP="009B664E">
      <w:pPr>
        <w:pStyle w:val="ReportText"/>
        <w:rPr>
          <w:rFonts w:cs="Arial"/>
          <w:sz w:val="24"/>
          <w:szCs w:val="24"/>
        </w:rPr>
      </w:pPr>
    </w:p>
    <w:p w14:paraId="7BBEE02E" w14:textId="577E9437" w:rsidR="001E3F84" w:rsidRPr="009B664E" w:rsidRDefault="001E3F84" w:rsidP="001E7A25">
      <w:pPr>
        <w:pStyle w:val="ReportText"/>
        <w:numPr>
          <w:ilvl w:val="0"/>
          <w:numId w:val="4"/>
        </w:numPr>
        <w:rPr>
          <w:rFonts w:cs="Arial"/>
        </w:rPr>
        <w:sectPr w:rsidR="001E3F84" w:rsidRPr="009B664E" w:rsidSect="00C60A9E">
          <w:pgSz w:w="11906" w:h="16838" w:code="9"/>
          <w:pgMar w:top="992" w:right="1440" w:bottom="1701" w:left="1440" w:header="703" w:footer="527" w:gutter="0"/>
          <w:cols w:space="708"/>
          <w:docGrid w:linePitch="360"/>
        </w:sectPr>
      </w:pPr>
    </w:p>
    <w:p w14:paraId="0201ADA1" w14:textId="0A0822E9" w:rsidR="00612C69" w:rsidRPr="00612C69" w:rsidRDefault="00612C69">
      <w:pPr>
        <w:pStyle w:val="OtherHeading"/>
        <w:rPr>
          <w:rFonts w:cs="Arial"/>
        </w:rPr>
      </w:pPr>
      <w:r w:rsidRPr="00612C69">
        <w:rPr>
          <w:rFonts w:cs="Arial"/>
        </w:rPr>
        <w:lastRenderedPageBreak/>
        <w:t>References</w:t>
      </w:r>
    </w:p>
    <w:p w14:paraId="156E9C42" w14:textId="77777777" w:rsidR="00612C69" w:rsidRPr="0013064C" w:rsidRDefault="00612C69">
      <w:pPr>
        <w:rPr>
          <w:rFonts w:ascii="Arial" w:hAnsi="Arial" w:cs="Arial"/>
        </w:rPr>
      </w:pPr>
    </w:p>
    <w:p w14:paraId="2C8CE680" w14:textId="77777777" w:rsidR="00121207" w:rsidRPr="0013064C" w:rsidRDefault="00121207" w:rsidP="00121207">
      <w:pPr>
        <w:rPr>
          <w:rFonts w:ascii="Arial" w:hAnsi="Arial" w:cs="Arial"/>
        </w:rPr>
      </w:pPr>
      <w:proofErr w:type="spellStart"/>
      <w:r w:rsidRPr="0013064C">
        <w:rPr>
          <w:rFonts w:ascii="Arial" w:hAnsi="Arial" w:cs="Arial"/>
        </w:rPr>
        <w:t>Ahn</w:t>
      </w:r>
      <w:proofErr w:type="spellEnd"/>
      <w:r w:rsidRPr="0013064C">
        <w:rPr>
          <w:rFonts w:ascii="Arial" w:hAnsi="Arial" w:cs="Arial"/>
        </w:rPr>
        <w:t xml:space="preserve">, S; Park, SH; Lee, KH (2013). How to demonstrate </w:t>
      </w:r>
      <w:proofErr w:type="spellStart"/>
      <w:r w:rsidRPr="0013064C">
        <w:rPr>
          <w:rFonts w:ascii="Arial" w:hAnsi="Arial" w:cs="Arial"/>
        </w:rPr>
        <w:t>similiarity</w:t>
      </w:r>
      <w:proofErr w:type="spellEnd"/>
      <w:r w:rsidRPr="0013064C">
        <w:rPr>
          <w:rFonts w:ascii="Arial" w:hAnsi="Arial" w:cs="Arial"/>
        </w:rPr>
        <w:t xml:space="preserve"> by using non-inferiority and equivalence statistical testing in radiology research. Radiology 267, 2 </w:t>
      </w:r>
    </w:p>
    <w:p w14:paraId="347394EB" w14:textId="77777777" w:rsidR="00121207" w:rsidRPr="0013064C" w:rsidRDefault="00121207" w:rsidP="00121207">
      <w:pPr>
        <w:rPr>
          <w:rFonts w:ascii="Arial" w:hAnsi="Arial" w:cs="Arial"/>
        </w:rPr>
      </w:pPr>
    </w:p>
    <w:p w14:paraId="5124BBBC" w14:textId="77777777" w:rsidR="00121207" w:rsidRPr="0013064C" w:rsidRDefault="00121207" w:rsidP="00121207">
      <w:pPr>
        <w:rPr>
          <w:rFonts w:ascii="Arial" w:hAnsi="Arial" w:cs="Arial"/>
        </w:rPr>
      </w:pPr>
      <w:proofErr w:type="spellStart"/>
      <w:r w:rsidRPr="0013064C">
        <w:rPr>
          <w:rFonts w:ascii="Arial" w:hAnsi="Arial" w:cs="Arial"/>
        </w:rPr>
        <w:t>Althunian</w:t>
      </w:r>
      <w:proofErr w:type="spellEnd"/>
      <w:r w:rsidRPr="0013064C">
        <w:rPr>
          <w:rFonts w:ascii="Arial" w:hAnsi="Arial" w:cs="Arial"/>
        </w:rPr>
        <w:t xml:space="preserve">, T. A.; de Boer, A.; </w:t>
      </w:r>
      <w:proofErr w:type="spellStart"/>
      <w:r w:rsidRPr="0013064C">
        <w:rPr>
          <w:rFonts w:ascii="Arial" w:hAnsi="Arial" w:cs="Arial"/>
        </w:rPr>
        <w:t>Klungel</w:t>
      </w:r>
      <w:proofErr w:type="spellEnd"/>
      <w:r w:rsidRPr="0013064C">
        <w:rPr>
          <w:rFonts w:ascii="Arial" w:hAnsi="Arial" w:cs="Arial"/>
        </w:rPr>
        <w:t xml:space="preserve">, O. H.; </w:t>
      </w:r>
      <w:proofErr w:type="spellStart"/>
      <w:r w:rsidRPr="0013064C">
        <w:rPr>
          <w:rFonts w:ascii="Arial" w:hAnsi="Arial" w:cs="Arial"/>
        </w:rPr>
        <w:t>Insani</w:t>
      </w:r>
      <w:proofErr w:type="spellEnd"/>
      <w:r w:rsidRPr="0013064C">
        <w:rPr>
          <w:rFonts w:ascii="Arial" w:hAnsi="Arial" w:cs="Arial"/>
        </w:rPr>
        <w:t xml:space="preserve">, W. N.; </w:t>
      </w:r>
      <w:proofErr w:type="spellStart"/>
      <w:r w:rsidRPr="0013064C">
        <w:rPr>
          <w:rFonts w:ascii="Arial" w:hAnsi="Arial" w:cs="Arial"/>
        </w:rPr>
        <w:t>Groenwold</w:t>
      </w:r>
      <w:proofErr w:type="spellEnd"/>
      <w:r w:rsidRPr="0013064C">
        <w:rPr>
          <w:rFonts w:ascii="Arial" w:hAnsi="Arial" w:cs="Arial"/>
        </w:rPr>
        <w:t>, R. H. (2017), Methods of defining the non-inferiority margin in randomized, double-blind controlled trials: a systematic review, Trials 18, 1:107</w:t>
      </w:r>
    </w:p>
    <w:p w14:paraId="0942F643" w14:textId="77777777" w:rsidR="00121207" w:rsidRPr="0013064C" w:rsidRDefault="00121207" w:rsidP="00121207">
      <w:pPr>
        <w:rPr>
          <w:rFonts w:ascii="Arial" w:hAnsi="Arial" w:cs="Arial"/>
        </w:rPr>
      </w:pPr>
    </w:p>
    <w:p w14:paraId="68EE2F72" w14:textId="77777777" w:rsidR="00121207" w:rsidRPr="0013064C" w:rsidRDefault="00121207" w:rsidP="00121207">
      <w:pPr>
        <w:rPr>
          <w:rFonts w:ascii="Arial" w:hAnsi="Arial" w:cs="Arial"/>
        </w:rPr>
      </w:pPr>
      <w:proofErr w:type="spellStart"/>
      <w:r w:rsidRPr="0013064C">
        <w:rPr>
          <w:rFonts w:ascii="Arial" w:hAnsi="Arial" w:cs="Arial"/>
        </w:rPr>
        <w:t>Aupiais</w:t>
      </w:r>
      <w:proofErr w:type="spellEnd"/>
      <w:r w:rsidRPr="0013064C">
        <w:rPr>
          <w:rFonts w:ascii="Arial" w:hAnsi="Arial" w:cs="Arial"/>
        </w:rPr>
        <w:t xml:space="preserve">, C.; Zohar, S.; </w:t>
      </w:r>
      <w:proofErr w:type="spellStart"/>
      <w:r w:rsidRPr="0013064C">
        <w:rPr>
          <w:rFonts w:ascii="Arial" w:hAnsi="Arial" w:cs="Arial"/>
        </w:rPr>
        <w:t>Taverny</w:t>
      </w:r>
      <w:proofErr w:type="spellEnd"/>
      <w:r w:rsidRPr="0013064C">
        <w:rPr>
          <w:rFonts w:ascii="Arial" w:hAnsi="Arial" w:cs="Arial"/>
        </w:rPr>
        <w:t xml:space="preserve">, G.; Le Roux, E.; </w:t>
      </w:r>
      <w:proofErr w:type="spellStart"/>
      <w:r w:rsidRPr="0013064C">
        <w:rPr>
          <w:rFonts w:ascii="Arial" w:hAnsi="Arial" w:cs="Arial"/>
        </w:rPr>
        <w:t>Boulkedid</w:t>
      </w:r>
      <w:proofErr w:type="spellEnd"/>
      <w:r w:rsidRPr="0013064C">
        <w:rPr>
          <w:rFonts w:ascii="Arial" w:hAnsi="Arial" w:cs="Arial"/>
        </w:rPr>
        <w:t>, R.; Alberti, C. (2018), Exploring how non-inferiority and equivalence are assessed in paediatrics: a systematic review, Arch Dis Child 103, 11:1067-1075</w:t>
      </w:r>
    </w:p>
    <w:p w14:paraId="149F10B8" w14:textId="77777777" w:rsidR="00121207" w:rsidRPr="0013064C" w:rsidRDefault="00121207" w:rsidP="00121207">
      <w:pPr>
        <w:rPr>
          <w:rFonts w:ascii="Arial" w:hAnsi="Arial" w:cs="Arial"/>
        </w:rPr>
      </w:pPr>
    </w:p>
    <w:p w14:paraId="35511054" w14:textId="77777777" w:rsidR="00121207" w:rsidRPr="0013064C" w:rsidRDefault="00121207" w:rsidP="00121207">
      <w:pPr>
        <w:rPr>
          <w:rFonts w:ascii="Arial" w:hAnsi="Arial" w:cs="Arial"/>
        </w:rPr>
      </w:pPr>
      <w:r w:rsidRPr="0013064C">
        <w:rPr>
          <w:rFonts w:ascii="Arial" w:hAnsi="Arial" w:cs="Arial"/>
        </w:rPr>
        <w:t xml:space="preserve">Dunn, D. T.; </w:t>
      </w:r>
      <w:proofErr w:type="spellStart"/>
      <w:r w:rsidRPr="0013064C">
        <w:rPr>
          <w:rFonts w:ascii="Arial" w:hAnsi="Arial" w:cs="Arial"/>
        </w:rPr>
        <w:t>Copas</w:t>
      </w:r>
      <w:proofErr w:type="spellEnd"/>
      <w:r w:rsidRPr="0013064C">
        <w:rPr>
          <w:rFonts w:ascii="Arial" w:hAnsi="Arial" w:cs="Arial"/>
        </w:rPr>
        <w:t xml:space="preserve">, A. J.; Brocklehurst, P. (2018), Superiority and non-inferiority: two sides of the same </w:t>
      </w:r>
      <w:proofErr w:type="gramStart"/>
      <w:r w:rsidRPr="0013064C">
        <w:rPr>
          <w:rFonts w:ascii="Arial" w:hAnsi="Arial" w:cs="Arial"/>
        </w:rPr>
        <w:t>coin?,</w:t>
      </w:r>
      <w:proofErr w:type="gramEnd"/>
      <w:r w:rsidRPr="0013064C">
        <w:rPr>
          <w:rFonts w:ascii="Arial" w:hAnsi="Arial" w:cs="Arial"/>
        </w:rPr>
        <w:t xml:space="preserve"> Trials 19, 1:499</w:t>
      </w:r>
    </w:p>
    <w:p w14:paraId="01EC23D0" w14:textId="77777777" w:rsidR="00121207" w:rsidRPr="0013064C" w:rsidRDefault="00121207" w:rsidP="00121207">
      <w:pPr>
        <w:rPr>
          <w:rFonts w:ascii="Arial" w:hAnsi="Arial" w:cs="Arial"/>
        </w:rPr>
      </w:pPr>
    </w:p>
    <w:p w14:paraId="5B268601" w14:textId="77777777" w:rsidR="00121207" w:rsidRPr="0013064C" w:rsidRDefault="00121207" w:rsidP="00121207">
      <w:pPr>
        <w:rPr>
          <w:rFonts w:ascii="Arial" w:hAnsi="Arial" w:cs="Arial"/>
        </w:rPr>
      </w:pPr>
      <w:r w:rsidRPr="0013064C">
        <w:rPr>
          <w:rFonts w:ascii="Arial" w:hAnsi="Arial" w:cs="Arial"/>
        </w:rPr>
        <w:t xml:space="preserve">Gladstone, B. P.; </w:t>
      </w:r>
      <w:proofErr w:type="spellStart"/>
      <w:r w:rsidRPr="0013064C">
        <w:rPr>
          <w:rFonts w:ascii="Arial" w:hAnsi="Arial" w:cs="Arial"/>
        </w:rPr>
        <w:t>Vach</w:t>
      </w:r>
      <w:proofErr w:type="spellEnd"/>
      <w:r w:rsidRPr="0013064C">
        <w:rPr>
          <w:rFonts w:ascii="Arial" w:hAnsi="Arial" w:cs="Arial"/>
        </w:rPr>
        <w:t xml:space="preserve">, W. (2014), Choice of non-inferiority (NI) margins does not protect against degradation of treatment effects on an average--an observational study of registered and published NI trials, </w:t>
      </w:r>
      <w:proofErr w:type="spellStart"/>
      <w:r w:rsidRPr="0013064C">
        <w:rPr>
          <w:rFonts w:ascii="Arial" w:hAnsi="Arial" w:cs="Arial"/>
        </w:rPr>
        <w:t>PLoS</w:t>
      </w:r>
      <w:proofErr w:type="spellEnd"/>
      <w:r w:rsidRPr="0013064C">
        <w:rPr>
          <w:rFonts w:ascii="Arial" w:hAnsi="Arial" w:cs="Arial"/>
        </w:rPr>
        <w:t xml:space="preserve"> One 9, </w:t>
      </w:r>
      <w:proofErr w:type="gramStart"/>
      <w:r w:rsidRPr="0013064C">
        <w:rPr>
          <w:rFonts w:ascii="Arial" w:hAnsi="Arial" w:cs="Arial"/>
        </w:rPr>
        <w:t>7:e</w:t>
      </w:r>
      <w:proofErr w:type="gramEnd"/>
      <w:r w:rsidRPr="0013064C">
        <w:rPr>
          <w:rFonts w:ascii="Arial" w:hAnsi="Arial" w:cs="Arial"/>
        </w:rPr>
        <w:t>103616</w:t>
      </w:r>
    </w:p>
    <w:p w14:paraId="6FEFAAFB" w14:textId="77777777" w:rsidR="00121207" w:rsidRPr="0013064C" w:rsidRDefault="00121207" w:rsidP="00121207">
      <w:pPr>
        <w:rPr>
          <w:rFonts w:ascii="Arial" w:hAnsi="Arial" w:cs="Arial"/>
        </w:rPr>
      </w:pPr>
    </w:p>
    <w:p w14:paraId="587F4F20" w14:textId="77777777" w:rsidR="00121207" w:rsidRPr="0013064C" w:rsidRDefault="00121207" w:rsidP="00121207">
      <w:pPr>
        <w:rPr>
          <w:rFonts w:ascii="Arial" w:hAnsi="Arial" w:cs="Arial"/>
        </w:rPr>
      </w:pPr>
      <w:proofErr w:type="spellStart"/>
      <w:r w:rsidRPr="0013064C">
        <w:rPr>
          <w:rFonts w:ascii="Arial" w:hAnsi="Arial" w:cs="Arial"/>
        </w:rPr>
        <w:t>Julious</w:t>
      </w:r>
      <w:proofErr w:type="spellEnd"/>
      <w:r w:rsidRPr="0013064C">
        <w:rPr>
          <w:rFonts w:ascii="Arial" w:hAnsi="Arial" w:cs="Arial"/>
        </w:rPr>
        <w:t>, S. A. (2011), The ABC of non-inferiority margin setting from indirect comparisons, Pharm Stat 10, 5:448-53</w:t>
      </w:r>
    </w:p>
    <w:p w14:paraId="270B66DA" w14:textId="77777777" w:rsidR="00121207" w:rsidRPr="0013064C" w:rsidRDefault="00121207" w:rsidP="00121207">
      <w:pPr>
        <w:rPr>
          <w:rFonts w:ascii="Arial" w:hAnsi="Arial" w:cs="Arial"/>
        </w:rPr>
      </w:pPr>
    </w:p>
    <w:p w14:paraId="77F863DF" w14:textId="77777777" w:rsidR="00FC7DB1" w:rsidRPr="0013064C" w:rsidRDefault="00FC7DB1" w:rsidP="00FC7DB1">
      <w:pPr>
        <w:rPr>
          <w:rFonts w:ascii="Arial" w:hAnsi="Arial" w:cs="Arial"/>
        </w:rPr>
      </w:pPr>
      <w:r w:rsidRPr="0013064C">
        <w:rPr>
          <w:rFonts w:ascii="Arial" w:hAnsi="Arial" w:cs="Arial"/>
        </w:rPr>
        <w:t xml:space="preserve">Mauri, L., Garg, P., Massaro, J. M., Foster, E., Glower, D., </w:t>
      </w:r>
      <w:proofErr w:type="spellStart"/>
      <w:r w:rsidRPr="0013064C">
        <w:rPr>
          <w:rFonts w:ascii="Arial" w:hAnsi="Arial" w:cs="Arial"/>
        </w:rPr>
        <w:t>Mehoudar</w:t>
      </w:r>
      <w:proofErr w:type="spellEnd"/>
      <w:r w:rsidRPr="0013064C">
        <w:rPr>
          <w:rFonts w:ascii="Arial" w:hAnsi="Arial" w:cs="Arial"/>
        </w:rPr>
        <w:t xml:space="preserve">, P., . . . Feldman, T. (2010). The EVEREST II trial: Design and rationale for a randomized study of the </w:t>
      </w:r>
      <w:proofErr w:type="spellStart"/>
      <w:r w:rsidRPr="0013064C">
        <w:rPr>
          <w:rFonts w:ascii="Arial" w:hAnsi="Arial" w:cs="Arial"/>
        </w:rPr>
        <w:t>evalve</w:t>
      </w:r>
      <w:proofErr w:type="spellEnd"/>
      <w:r w:rsidRPr="0013064C">
        <w:rPr>
          <w:rFonts w:ascii="Arial" w:hAnsi="Arial" w:cs="Arial"/>
        </w:rPr>
        <w:t xml:space="preserve"> </w:t>
      </w:r>
      <w:proofErr w:type="spellStart"/>
      <w:r w:rsidRPr="0013064C">
        <w:rPr>
          <w:rFonts w:ascii="Arial" w:hAnsi="Arial" w:cs="Arial"/>
        </w:rPr>
        <w:t>mitraclip</w:t>
      </w:r>
      <w:proofErr w:type="spellEnd"/>
      <w:r w:rsidRPr="0013064C">
        <w:rPr>
          <w:rFonts w:ascii="Arial" w:hAnsi="Arial" w:cs="Arial"/>
        </w:rPr>
        <w:t xml:space="preserve"> system compared with mitral valve surgery for mitral regurgitation. The American Heart Journal, 160(1), 23-29. </w:t>
      </w:r>
    </w:p>
    <w:p w14:paraId="4BF6EC13" w14:textId="77777777" w:rsidR="00FC7DB1" w:rsidRPr="0013064C" w:rsidRDefault="00FC7DB1" w:rsidP="00121207">
      <w:pPr>
        <w:rPr>
          <w:rFonts w:ascii="Arial" w:hAnsi="Arial" w:cs="Arial"/>
        </w:rPr>
      </w:pPr>
    </w:p>
    <w:p w14:paraId="7B758612" w14:textId="0F1C4E5D" w:rsidR="00121207" w:rsidRPr="0013064C" w:rsidRDefault="00121207" w:rsidP="00121207">
      <w:pPr>
        <w:rPr>
          <w:rFonts w:ascii="Arial" w:hAnsi="Arial" w:cs="Arial"/>
        </w:rPr>
      </w:pPr>
      <w:r w:rsidRPr="0013064C">
        <w:rPr>
          <w:rFonts w:ascii="Arial" w:hAnsi="Arial" w:cs="Arial"/>
        </w:rPr>
        <w:t xml:space="preserve">Rehal, S.; Morris, T. P.; Fielding, K.; Carpenter, J. R.; Phillips, P. P. (2016), Non-inferiority trials: are they inferior? A systematic review of reporting in major medical journals, BMJ Open 6, </w:t>
      </w:r>
      <w:proofErr w:type="gramStart"/>
      <w:r w:rsidRPr="0013064C">
        <w:rPr>
          <w:rFonts w:ascii="Arial" w:hAnsi="Arial" w:cs="Arial"/>
        </w:rPr>
        <w:t>10:e</w:t>
      </w:r>
      <w:proofErr w:type="gramEnd"/>
      <w:r w:rsidRPr="0013064C">
        <w:rPr>
          <w:rFonts w:ascii="Arial" w:hAnsi="Arial" w:cs="Arial"/>
        </w:rPr>
        <w:t>012594</w:t>
      </w:r>
    </w:p>
    <w:p w14:paraId="66A54850" w14:textId="77777777" w:rsidR="00121207" w:rsidRPr="0013064C" w:rsidRDefault="00121207" w:rsidP="00121207">
      <w:pPr>
        <w:rPr>
          <w:rFonts w:ascii="Arial" w:hAnsi="Arial" w:cs="Arial"/>
        </w:rPr>
      </w:pPr>
    </w:p>
    <w:p w14:paraId="6DD414EE" w14:textId="77777777" w:rsidR="00121207" w:rsidRPr="0013064C" w:rsidRDefault="00121207" w:rsidP="00121207">
      <w:pPr>
        <w:rPr>
          <w:rFonts w:ascii="Arial" w:hAnsi="Arial" w:cs="Arial"/>
        </w:rPr>
      </w:pPr>
      <w:r w:rsidRPr="0013064C">
        <w:rPr>
          <w:rFonts w:ascii="Arial" w:hAnsi="Arial" w:cs="Arial"/>
        </w:rPr>
        <w:t xml:space="preserve">Shan, G., </w:t>
      </w:r>
      <w:proofErr w:type="spellStart"/>
      <w:r w:rsidRPr="0013064C">
        <w:rPr>
          <w:rFonts w:ascii="Arial" w:hAnsi="Arial" w:cs="Arial"/>
        </w:rPr>
        <w:t>Amei</w:t>
      </w:r>
      <w:proofErr w:type="spellEnd"/>
      <w:r w:rsidRPr="0013064C">
        <w:rPr>
          <w:rFonts w:ascii="Arial" w:hAnsi="Arial" w:cs="Arial"/>
        </w:rPr>
        <w:t>, A., &amp; Young, D. (2015). Efficient Noninferiority Testing Procedures for Simultaneously Assessing Sensitivity and Specificity of Two Diagnostic Tests. Computational and mathematical methods in medicine, 2015, 128930. doi:10.1155/2015/128930</w:t>
      </w:r>
    </w:p>
    <w:p w14:paraId="7C33CF91" w14:textId="77777777" w:rsidR="00121207" w:rsidRPr="0013064C" w:rsidRDefault="00121207" w:rsidP="00121207">
      <w:pPr>
        <w:rPr>
          <w:rFonts w:ascii="Arial" w:hAnsi="Arial" w:cs="Arial"/>
        </w:rPr>
      </w:pPr>
    </w:p>
    <w:p w14:paraId="6AAED719" w14:textId="77777777" w:rsidR="00121207" w:rsidRPr="0013064C" w:rsidRDefault="00121207" w:rsidP="00121207">
      <w:pPr>
        <w:rPr>
          <w:rFonts w:ascii="Arial" w:hAnsi="Arial" w:cs="Arial"/>
        </w:rPr>
      </w:pPr>
      <w:r w:rsidRPr="0013064C">
        <w:rPr>
          <w:rFonts w:ascii="Arial" w:hAnsi="Arial" w:cs="Arial"/>
        </w:rPr>
        <w:t xml:space="preserve">Committee for Medicinal Products for Human Use (CHMP) (2006). “Guideline on the Choice of the Non-Inferiority Margin.” Statistics in Medicine 25, 1628–1638. </w:t>
      </w:r>
    </w:p>
    <w:p w14:paraId="507EC9CD" w14:textId="77777777" w:rsidR="00121207" w:rsidRPr="0013064C" w:rsidRDefault="00121207" w:rsidP="00121207">
      <w:pPr>
        <w:rPr>
          <w:rFonts w:ascii="Arial" w:hAnsi="Arial" w:cs="Arial"/>
        </w:rPr>
      </w:pPr>
    </w:p>
    <w:p w14:paraId="2B1090A5" w14:textId="77777777" w:rsidR="00121207" w:rsidRPr="0013064C" w:rsidRDefault="00121207" w:rsidP="00121207">
      <w:pPr>
        <w:rPr>
          <w:rFonts w:ascii="Arial" w:hAnsi="Arial" w:cs="Arial"/>
        </w:rPr>
      </w:pPr>
      <w:r w:rsidRPr="0013064C">
        <w:rPr>
          <w:rFonts w:ascii="Arial" w:hAnsi="Arial" w:cs="Arial"/>
        </w:rPr>
        <w:t>Committee for Proprietary Medicinal Products (CPMP) (2000). “Points to consider on switching between superiority and non-inferiority. CPMP/EQP/482/99</w:t>
      </w:r>
    </w:p>
    <w:p w14:paraId="3589D53F" w14:textId="77777777" w:rsidR="00121207" w:rsidRPr="0013064C" w:rsidRDefault="00121207" w:rsidP="00121207">
      <w:pPr>
        <w:rPr>
          <w:rFonts w:ascii="Arial" w:hAnsi="Arial" w:cs="Arial"/>
        </w:rPr>
      </w:pPr>
    </w:p>
    <w:p w14:paraId="03C69A6C" w14:textId="77777777" w:rsidR="00121207" w:rsidRPr="0013064C" w:rsidRDefault="00121207" w:rsidP="00121207">
      <w:pPr>
        <w:rPr>
          <w:rFonts w:ascii="Arial" w:hAnsi="Arial" w:cs="Arial"/>
        </w:rPr>
      </w:pPr>
      <w:r w:rsidRPr="0013064C">
        <w:rPr>
          <w:rFonts w:ascii="Arial" w:hAnsi="Arial" w:cs="Arial"/>
        </w:rPr>
        <w:t>EMEA (1996).  ICH Topic E3: Structure and content of clinical study reports</w:t>
      </w:r>
    </w:p>
    <w:p w14:paraId="751ECE1D" w14:textId="77777777" w:rsidR="00121207" w:rsidRPr="0013064C" w:rsidRDefault="00121207" w:rsidP="00121207">
      <w:pPr>
        <w:rPr>
          <w:rFonts w:ascii="Arial" w:hAnsi="Arial" w:cs="Arial"/>
        </w:rPr>
      </w:pPr>
    </w:p>
    <w:p w14:paraId="39D6272C" w14:textId="77777777" w:rsidR="00121207" w:rsidRPr="0013064C" w:rsidRDefault="00121207" w:rsidP="00121207">
      <w:pPr>
        <w:rPr>
          <w:rFonts w:ascii="Arial" w:hAnsi="Arial" w:cs="Arial"/>
        </w:rPr>
      </w:pPr>
      <w:r w:rsidRPr="0013064C">
        <w:rPr>
          <w:rFonts w:ascii="Arial" w:hAnsi="Arial" w:cs="Arial"/>
        </w:rPr>
        <w:t xml:space="preserve">International Conference on Harmonisation: Choice of Control Group and Related Issues in Clinical Trials (ICH E10), Food and Drug Administration, DHHS, July 2000. </w:t>
      </w:r>
    </w:p>
    <w:p w14:paraId="67A9878B" w14:textId="77777777" w:rsidR="00121207" w:rsidRPr="0013064C" w:rsidRDefault="00121207" w:rsidP="00121207">
      <w:pPr>
        <w:rPr>
          <w:rFonts w:ascii="Arial" w:hAnsi="Arial" w:cs="Arial"/>
        </w:rPr>
      </w:pPr>
    </w:p>
    <w:p w14:paraId="6DC1C10D" w14:textId="77777777" w:rsidR="00121207" w:rsidRPr="0013064C" w:rsidRDefault="00121207" w:rsidP="00121207">
      <w:pPr>
        <w:rPr>
          <w:rFonts w:ascii="Arial" w:hAnsi="Arial" w:cs="Arial"/>
        </w:rPr>
      </w:pPr>
      <w:r w:rsidRPr="0013064C">
        <w:rPr>
          <w:rFonts w:ascii="Arial" w:hAnsi="Arial" w:cs="Arial"/>
        </w:rPr>
        <w:t xml:space="preserve">International Conference on Harmonisation: Statistical Principles for Clinical Trials (ICH E-9), Food and Drug Administration, DHHS, 1998. </w:t>
      </w:r>
    </w:p>
    <w:p w14:paraId="3D17FC98" w14:textId="77777777" w:rsidR="00121207" w:rsidRPr="0013064C" w:rsidRDefault="00121207" w:rsidP="00121207">
      <w:pPr>
        <w:rPr>
          <w:rFonts w:ascii="Arial" w:hAnsi="Arial" w:cs="Arial"/>
        </w:rPr>
      </w:pPr>
    </w:p>
    <w:p w14:paraId="523E1E10" w14:textId="77777777" w:rsidR="0013064C" w:rsidRDefault="00121207" w:rsidP="00121207">
      <w:pPr>
        <w:rPr>
          <w:rFonts w:ascii="Arial" w:hAnsi="Arial" w:cs="Arial"/>
        </w:rPr>
      </w:pPr>
      <w:r w:rsidRPr="0013064C">
        <w:rPr>
          <w:rFonts w:ascii="Arial" w:hAnsi="Arial" w:cs="Arial"/>
        </w:rPr>
        <w:lastRenderedPageBreak/>
        <w:t>IQWIG (2015). General Methods 5.0</w:t>
      </w:r>
    </w:p>
    <w:p w14:paraId="060BF14A" w14:textId="77777777" w:rsidR="0013064C" w:rsidRDefault="0013064C" w:rsidP="00121207">
      <w:pPr>
        <w:rPr>
          <w:rFonts w:ascii="Arial" w:hAnsi="Arial" w:cs="Arial"/>
        </w:rPr>
      </w:pPr>
    </w:p>
    <w:p w14:paraId="715A2F08" w14:textId="34143397" w:rsidR="00121207" w:rsidRPr="0013064C" w:rsidRDefault="00121207" w:rsidP="00121207">
      <w:pPr>
        <w:rPr>
          <w:rFonts w:ascii="Arial" w:hAnsi="Arial" w:cs="Arial"/>
        </w:rPr>
      </w:pPr>
      <w:r w:rsidRPr="0013064C">
        <w:rPr>
          <w:rFonts w:ascii="Arial" w:hAnsi="Arial" w:cs="Arial"/>
        </w:rPr>
        <w:t>MHRA (2017) Statistical investigations of medical devices – statistical considerations</w:t>
      </w:r>
    </w:p>
    <w:p w14:paraId="2BCB48CF" w14:textId="77777777" w:rsidR="00121207" w:rsidRPr="0013064C" w:rsidRDefault="00121207" w:rsidP="00121207">
      <w:pPr>
        <w:rPr>
          <w:rFonts w:ascii="Arial" w:hAnsi="Arial" w:cs="Arial"/>
        </w:rPr>
      </w:pPr>
    </w:p>
    <w:p w14:paraId="31DE2124" w14:textId="77777777" w:rsidR="004B45B2" w:rsidRPr="0013064C" w:rsidRDefault="004B45B2" w:rsidP="004B45B2">
      <w:pPr>
        <w:rPr>
          <w:rFonts w:ascii="Arial" w:hAnsi="Arial" w:cs="Arial"/>
        </w:rPr>
      </w:pPr>
      <w:r w:rsidRPr="0013064C">
        <w:rPr>
          <w:rFonts w:ascii="Arial" w:hAnsi="Arial" w:cs="Arial"/>
        </w:rPr>
        <w:t>Official Journal of the European Union (2017). Regulation (EU) 2017/745 of the European Parliament and of the Council Annex 14</w:t>
      </w:r>
    </w:p>
    <w:p w14:paraId="31AA218B" w14:textId="77777777" w:rsidR="004B45B2" w:rsidRPr="0013064C" w:rsidRDefault="004B45B2" w:rsidP="004B45B2">
      <w:pPr>
        <w:rPr>
          <w:rFonts w:ascii="Arial" w:hAnsi="Arial" w:cs="Arial"/>
        </w:rPr>
      </w:pPr>
    </w:p>
    <w:p w14:paraId="66D5A590" w14:textId="77777777" w:rsidR="004B45B2" w:rsidRPr="0013064C" w:rsidRDefault="004B45B2" w:rsidP="004B45B2">
      <w:pPr>
        <w:rPr>
          <w:rFonts w:ascii="Arial" w:hAnsi="Arial" w:cs="Arial"/>
        </w:rPr>
      </w:pPr>
      <w:r w:rsidRPr="0013064C">
        <w:rPr>
          <w:rFonts w:ascii="Arial" w:hAnsi="Arial" w:cs="Arial"/>
        </w:rPr>
        <w:t xml:space="preserve">Piaggio G, </w:t>
      </w:r>
      <w:proofErr w:type="spellStart"/>
      <w:r w:rsidRPr="0013064C">
        <w:rPr>
          <w:rFonts w:ascii="Arial" w:hAnsi="Arial" w:cs="Arial"/>
        </w:rPr>
        <w:t>Elbourne</w:t>
      </w:r>
      <w:proofErr w:type="spellEnd"/>
      <w:r w:rsidRPr="0013064C">
        <w:rPr>
          <w:rFonts w:ascii="Arial" w:hAnsi="Arial" w:cs="Arial"/>
        </w:rPr>
        <w:t xml:space="preserve"> DR, Pocock SJ, Evans SJW, Altman DG, CONSORT Group FT. Reporting of Noninferiority and Equivalence Randomized Trials: Extension of the CONSORT 2010 Statement. JAMA. 2012;308(24):2594–2604. doi:10.1001/jama.2012.87802</w:t>
      </w:r>
    </w:p>
    <w:p w14:paraId="2D3D7DE0" w14:textId="77777777" w:rsidR="004B45B2" w:rsidRPr="0013064C" w:rsidRDefault="004B45B2" w:rsidP="004B45B2">
      <w:pPr>
        <w:rPr>
          <w:rFonts w:ascii="Arial" w:hAnsi="Arial" w:cs="Arial"/>
        </w:rPr>
      </w:pPr>
    </w:p>
    <w:p w14:paraId="2B12B7D1" w14:textId="77777777" w:rsidR="004B45B2" w:rsidRPr="0013064C" w:rsidRDefault="004B45B2" w:rsidP="004B45B2">
      <w:pPr>
        <w:rPr>
          <w:rFonts w:ascii="Arial" w:hAnsi="Arial" w:cs="Arial"/>
        </w:rPr>
      </w:pPr>
      <w:r w:rsidRPr="0013064C">
        <w:rPr>
          <w:rFonts w:ascii="Arial" w:hAnsi="Arial" w:cs="Arial"/>
        </w:rPr>
        <w:t>U.S. Department of Health and Human Services, Food and Drug Administration,</w:t>
      </w:r>
    </w:p>
    <w:p w14:paraId="0822A4AC" w14:textId="77777777" w:rsidR="004B45B2" w:rsidRPr="0013064C" w:rsidRDefault="004B45B2" w:rsidP="004B45B2">
      <w:pPr>
        <w:rPr>
          <w:rFonts w:ascii="Arial" w:hAnsi="Arial" w:cs="Arial"/>
        </w:rPr>
      </w:pPr>
      <w:proofErr w:type="spellStart"/>
      <w:r w:rsidRPr="0013064C">
        <w:rPr>
          <w:rFonts w:ascii="Arial" w:hAnsi="Arial" w:cs="Arial"/>
        </w:rPr>
        <w:t>Center</w:t>
      </w:r>
      <w:proofErr w:type="spellEnd"/>
      <w:r w:rsidRPr="0013064C">
        <w:rPr>
          <w:rFonts w:ascii="Arial" w:hAnsi="Arial" w:cs="Arial"/>
        </w:rPr>
        <w:t xml:space="preserve"> for Drug Evaluation and Research (CDER), </w:t>
      </w:r>
      <w:proofErr w:type="spellStart"/>
      <w:r w:rsidRPr="0013064C">
        <w:rPr>
          <w:rFonts w:ascii="Arial" w:hAnsi="Arial" w:cs="Arial"/>
        </w:rPr>
        <w:t>Center</w:t>
      </w:r>
      <w:proofErr w:type="spellEnd"/>
      <w:r w:rsidRPr="0013064C">
        <w:rPr>
          <w:rFonts w:ascii="Arial" w:hAnsi="Arial" w:cs="Arial"/>
        </w:rPr>
        <w:t xml:space="preserve"> for Biologics Evaluation and Research (CBER) (2016). Non-Inferiority Clinical Trials to Establish Effectiveness: Guidance for Industry </w:t>
      </w:r>
    </w:p>
    <w:p w14:paraId="3414027F" w14:textId="77777777" w:rsidR="004B45B2" w:rsidRPr="0013064C" w:rsidRDefault="004B45B2" w:rsidP="004B45B2">
      <w:pPr>
        <w:rPr>
          <w:rFonts w:ascii="Arial" w:hAnsi="Arial" w:cs="Arial"/>
        </w:rPr>
      </w:pPr>
    </w:p>
    <w:p w14:paraId="7EB09BD3" w14:textId="77777777" w:rsidR="004B45B2" w:rsidRPr="0013064C" w:rsidRDefault="004B45B2" w:rsidP="004B45B2">
      <w:pPr>
        <w:rPr>
          <w:rFonts w:ascii="Arial" w:hAnsi="Arial" w:cs="Arial"/>
        </w:rPr>
      </w:pPr>
      <w:r w:rsidRPr="0013064C">
        <w:rPr>
          <w:rFonts w:ascii="Arial" w:hAnsi="Arial" w:cs="Arial"/>
        </w:rPr>
        <w:t>U.S. Department of Health and Human Services, Food and Drug Administration (2014). The 510(k) Program: Evaluating Substantial Equivalence in Premarket Notifications [510(k)] Guidance for Industry and Food and Drug Administration Staff</w:t>
      </w:r>
    </w:p>
    <w:p w14:paraId="26621022" w14:textId="465CDF93" w:rsidR="009E3AF6" w:rsidRPr="0013064C" w:rsidRDefault="009E3AF6" w:rsidP="009E3AF6">
      <w:pPr>
        <w:rPr>
          <w:rFonts w:ascii="Arial" w:hAnsi="Arial" w:cs="Arial"/>
        </w:rPr>
      </w:pPr>
    </w:p>
    <w:p w14:paraId="1B11BC80" w14:textId="77777777" w:rsidR="00782BCC" w:rsidRPr="0013064C" w:rsidRDefault="00782BCC" w:rsidP="00AC1231">
      <w:pPr>
        <w:rPr>
          <w:rFonts w:ascii="Arial" w:hAnsi="Arial" w:cs="Arial"/>
        </w:rPr>
      </w:pPr>
    </w:p>
    <w:p w14:paraId="12792D4E" w14:textId="77777777" w:rsidR="00782BCC" w:rsidRPr="0013064C" w:rsidRDefault="00782BCC" w:rsidP="00AC1231">
      <w:pPr>
        <w:rPr>
          <w:rFonts w:cs="Arial"/>
        </w:rPr>
      </w:pPr>
    </w:p>
    <w:p w14:paraId="4DCBC2A8" w14:textId="77777777" w:rsidR="00683C51" w:rsidRDefault="00683C51" w:rsidP="00AC1231">
      <w:pPr>
        <w:rPr>
          <w:rFonts w:cs="Arial"/>
        </w:rPr>
        <w:sectPr w:rsidR="00683C51" w:rsidSect="00827684">
          <w:footerReference w:type="default" r:id="rId23"/>
          <w:footerReference w:type="first" r:id="rId24"/>
          <w:pgSz w:w="11909" w:h="16834" w:code="9"/>
          <w:pgMar w:top="1440" w:right="1440" w:bottom="357" w:left="1440" w:header="720" w:footer="457" w:gutter="0"/>
          <w:pgNumType w:fmt="lowerRoman" w:start="1"/>
          <w:cols w:space="720"/>
          <w:titlePg/>
        </w:sectPr>
      </w:pPr>
    </w:p>
    <w:p w14:paraId="1CF77F26" w14:textId="615B55F7" w:rsidR="00683C51" w:rsidRDefault="00683C51" w:rsidP="00683C51">
      <w:pPr>
        <w:pStyle w:val="OtherHeading"/>
        <w:rPr>
          <w:rFonts w:cs="Arial"/>
        </w:rPr>
      </w:pPr>
      <w:r>
        <w:rPr>
          <w:rFonts w:cs="Arial"/>
        </w:rPr>
        <w:lastRenderedPageBreak/>
        <w:t>Appendix A</w:t>
      </w:r>
    </w:p>
    <w:p w14:paraId="2C9E978C" w14:textId="5770E26D" w:rsidR="00121207" w:rsidRPr="0013064C" w:rsidRDefault="00121207" w:rsidP="00121207">
      <w:pPr>
        <w:pStyle w:val="Title"/>
        <w:ind w:left="720" w:firstLine="720"/>
        <w:rPr>
          <w:b/>
          <w:sz w:val="24"/>
          <w:szCs w:val="24"/>
        </w:rPr>
      </w:pPr>
      <w:r w:rsidRPr="0013064C">
        <w:rPr>
          <w:b/>
          <w:sz w:val="24"/>
          <w:szCs w:val="24"/>
        </w:rPr>
        <w:t xml:space="preserve">CONSORT Checklist for Non-inferiority and Equivalence Trials  </w:t>
      </w:r>
    </w:p>
    <w:p w14:paraId="07FDBF3F" w14:textId="20AB423F" w:rsidR="00121207" w:rsidRPr="0013064C" w:rsidRDefault="00121207" w:rsidP="00121207">
      <w:pPr>
        <w:jc w:val="center"/>
      </w:pPr>
      <w:r w:rsidRPr="0013064C">
        <w:rPr>
          <w:rFonts w:ascii="Arial" w:hAnsi="Arial" w:cs="Arial"/>
          <w:b/>
          <w:bCs/>
        </w:rPr>
        <w:t xml:space="preserve">Items to include when reporting a non-inferiority or equivalence randomized trial </w:t>
      </w:r>
      <w:r w:rsidRPr="0013064C">
        <w:t xml:space="preserve">    </w:t>
      </w:r>
    </w:p>
    <w:p w14:paraId="5DD59FA8" w14:textId="77777777" w:rsidR="00683C51" w:rsidRPr="0013064C" w:rsidRDefault="00683C51" w:rsidP="00683C51">
      <w:pPr>
        <w:rPr>
          <w:rFonts w:cs="Arial"/>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758"/>
        <w:gridCol w:w="5956"/>
        <w:gridCol w:w="1350"/>
      </w:tblGrid>
      <w:tr w:rsidR="00121207" w:rsidRPr="0013064C" w14:paraId="0E791A53" w14:textId="77777777" w:rsidTr="008241F1">
        <w:tc>
          <w:tcPr>
            <w:tcW w:w="2214" w:type="dxa"/>
            <w:shd w:val="clear" w:color="auto" w:fill="CDE1FF"/>
          </w:tcPr>
          <w:p w14:paraId="0BB19BCB" w14:textId="77777777" w:rsidR="00121207" w:rsidRPr="0013064C" w:rsidRDefault="00121207" w:rsidP="008241F1">
            <w:pPr>
              <w:jc w:val="center"/>
              <w:rPr>
                <w:rFonts w:ascii="Arial" w:hAnsi="Arial" w:cs="Arial"/>
                <w:b/>
                <w:bCs/>
              </w:rPr>
            </w:pPr>
            <w:r w:rsidRPr="0013064C">
              <w:rPr>
                <w:rFonts w:ascii="Arial" w:hAnsi="Arial" w:cs="Arial"/>
                <w:b/>
                <w:bCs/>
                <w:i/>
                <w:iCs/>
              </w:rPr>
              <w:t>PAPER SECTION</w:t>
            </w:r>
            <w:r w:rsidRPr="0013064C">
              <w:rPr>
                <w:rFonts w:ascii="Arial" w:hAnsi="Arial" w:cs="Arial"/>
                <w:b/>
                <w:bCs/>
              </w:rPr>
              <w:br/>
              <w:t>And topic</w:t>
            </w:r>
          </w:p>
        </w:tc>
        <w:tc>
          <w:tcPr>
            <w:tcW w:w="758" w:type="dxa"/>
            <w:shd w:val="clear" w:color="auto" w:fill="CDE1FF"/>
          </w:tcPr>
          <w:p w14:paraId="37B2799D" w14:textId="3FEAE1C1" w:rsidR="00121207" w:rsidRPr="0013064C" w:rsidRDefault="00121207" w:rsidP="008241F1">
            <w:pPr>
              <w:pStyle w:val="Title"/>
              <w:jc w:val="center"/>
              <w:rPr>
                <w:rFonts w:cs="Arial"/>
                <w:b/>
                <w:sz w:val="24"/>
                <w:szCs w:val="24"/>
              </w:rPr>
            </w:pPr>
            <w:r w:rsidRPr="0013064C">
              <w:rPr>
                <w:rFonts w:cs="Arial"/>
                <w:b/>
                <w:sz w:val="24"/>
                <w:szCs w:val="24"/>
              </w:rPr>
              <w:t>I</w:t>
            </w:r>
            <w:r w:rsidR="008241F1" w:rsidRPr="0013064C">
              <w:rPr>
                <w:b/>
                <w:sz w:val="24"/>
                <w:szCs w:val="24"/>
              </w:rPr>
              <w:t>tem</w:t>
            </w:r>
          </w:p>
        </w:tc>
        <w:tc>
          <w:tcPr>
            <w:tcW w:w="5956" w:type="dxa"/>
            <w:shd w:val="clear" w:color="auto" w:fill="CDE1FF"/>
          </w:tcPr>
          <w:p w14:paraId="54F03EB8" w14:textId="77777777" w:rsidR="00121207" w:rsidRPr="0013064C" w:rsidRDefault="00121207" w:rsidP="008241F1">
            <w:pPr>
              <w:rPr>
                <w:rFonts w:ascii="Arial" w:hAnsi="Arial" w:cs="Arial"/>
                <w:b/>
                <w:bCs/>
              </w:rPr>
            </w:pPr>
            <w:r w:rsidRPr="0013064C">
              <w:rPr>
                <w:rFonts w:ascii="Arial" w:hAnsi="Arial" w:cs="Arial"/>
                <w:b/>
                <w:bCs/>
              </w:rPr>
              <w:t>Descriptor</w:t>
            </w:r>
          </w:p>
        </w:tc>
        <w:tc>
          <w:tcPr>
            <w:tcW w:w="1350" w:type="dxa"/>
            <w:shd w:val="clear" w:color="auto" w:fill="CDE1FF"/>
          </w:tcPr>
          <w:p w14:paraId="1FA30C03" w14:textId="77777777" w:rsidR="00121207" w:rsidRPr="0013064C" w:rsidRDefault="00121207" w:rsidP="008241F1">
            <w:pPr>
              <w:jc w:val="center"/>
              <w:rPr>
                <w:rFonts w:ascii="Arial" w:hAnsi="Arial" w:cs="Arial"/>
                <w:b/>
                <w:bCs/>
              </w:rPr>
            </w:pPr>
            <w:r w:rsidRPr="0013064C">
              <w:rPr>
                <w:rFonts w:ascii="Arial" w:hAnsi="Arial" w:cs="Arial"/>
                <w:b/>
                <w:bCs/>
              </w:rPr>
              <w:t>Reported on</w:t>
            </w:r>
          </w:p>
          <w:p w14:paraId="4D108989" w14:textId="77777777" w:rsidR="00121207" w:rsidRPr="0013064C" w:rsidRDefault="00121207" w:rsidP="008241F1">
            <w:pPr>
              <w:jc w:val="center"/>
              <w:rPr>
                <w:rFonts w:ascii="Arial" w:hAnsi="Arial" w:cs="Arial"/>
                <w:b/>
                <w:bCs/>
              </w:rPr>
            </w:pPr>
            <w:r w:rsidRPr="0013064C">
              <w:rPr>
                <w:rFonts w:ascii="Arial" w:hAnsi="Arial" w:cs="Arial"/>
                <w:b/>
                <w:bCs/>
              </w:rPr>
              <w:t>Page #</w:t>
            </w:r>
          </w:p>
        </w:tc>
      </w:tr>
      <w:tr w:rsidR="00121207" w:rsidRPr="0013064C" w14:paraId="0AC77427" w14:textId="77777777" w:rsidTr="008241F1">
        <w:tc>
          <w:tcPr>
            <w:tcW w:w="2214" w:type="dxa"/>
          </w:tcPr>
          <w:p w14:paraId="56F3958D" w14:textId="2EF0714D" w:rsidR="00121207" w:rsidRPr="0013064C" w:rsidRDefault="008241F1" w:rsidP="008241F1">
            <w:pPr>
              <w:pStyle w:val="Title"/>
              <w:jc w:val="center"/>
              <w:rPr>
                <w:rFonts w:cs="Arial"/>
                <w:b/>
                <w:i/>
                <w:sz w:val="24"/>
                <w:szCs w:val="24"/>
              </w:rPr>
            </w:pPr>
            <w:r w:rsidRPr="0013064C">
              <w:rPr>
                <w:rFonts w:cs="Arial"/>
                <w:i/>
                <w:sz w:val="24"/>
                <w:szCs w:val="24"/>
              </w:rPr>
              <w:t>TITLE AND ABSTRACT</w:t>
            </w:r>
          </w:p>
        </w:tc>
        <w:tc>
          <w:tcPr>
            <w:tcW w:w="758" w:type="dxa"/>
          </w:tcPr>
          <w:p w14:paraId="59BD334A" w14:textId="77777777" w:rsidR="00121207" w:rsidRPr="0013064C" w:rsidRDefault="00121207" w:rsidP="008241F1">
            <w:pPr>
              <w:jc w:val="center"/>
              <w:rPr>
                <w:rFonts w:ascii="Arial" w:hAnsi="Arial" w:cs="Arial"/>
              </w:rPr>
            </w:pPr>
            <w:r w:rsidRPr="0013064C">
              <w:rPr>
                <w:rFonts w:ascii="Arial" w:hAnsi="Arial" w:cs="Arial"/>
              </w:rPr>
              <w:t>1</w:t>
            </w:r>
          </w:p>
        </w:tc>
        <w:tc>
          <w:tcPr>
            <w:tcW w:w="5956" w:type="dxa"/>
          </w:tcPr>
          <w:p w14:paraId="4A657B65" w14:textId="77777777" w:rsidR="00121207" w:rsidRPr="0013064C" w:rsidRDefault="00311A0F" w:rsidP="008241F1">
            <w:pPr>
              <w:rPr>
                <w:rFonts w:ascii="Arial" w:hAnsi="Arial" w:cs="Arial"/>
              </w:rPr>
            </w:pPr>
            <w:hyperlink r:id="rId25" w:history="1">
              <w:r w:rsidR="00121207" w:rsidRPr="0013064C">
                <w:rPr>
                  <w:rStyle w:val="Hyperlink"/>
                  <w:rFonts w:cs="Arial"/>
                  <w:sz w:val="24"/>
                </w:rPr>
                <w:t>How participants were allocated to interventions</w:t>
              </w:r>
            </w:hyperlink>
            <w:r w:rsidR="00121207" w:rsidRPr="0013064C">
              <w:rPr>
                <w:rFonts w:ascii="Arial" w:hAnsi="Arial" w:cs="Arial"/>
              </w:rPr>
              <w:t xml:space="preserve"> (</w:t>
            </w:r>
            <w:r w:rsidR="00121207" w:rsidRPr="0013064C">
              <w:rPr>
                <w:rFonts w:ascii="Arial" w:hAnsi="Arial" w:cs="Arial"/>
                <w:i/>
                <w:iCs/>
              </w:rPr>
              <w:t>e.g</w:t>
            </w:r>
            <w:r w:rsidR="00121207" w:rsidRPr="0013064C">
              <w:rPr>
                <w:rFonts w:ascii="Arial" w:hAnsi="Arial" w:cs="Arial"/>
              </w:rPr>
              <w:t>., "random allocation", "randomized", or "randomly assigned"),</w:t>
            </w:r>
          </w:p>
          <w:p w14:paraId="323B9F8B" w14:textId="77777777" w:rsidR="00121207" w:rsidRPr="0013064C" w:rsidRDefault="00121207" w:rsidP="008241F1">
            <w:pPr>
              <w:rPr>
                <w:rFonts w:ascii="Arial" w:hAnsi="Arial" w:cs="Arial"/>
              </w:rPr>
            </w:pPr>
            <w:r w:rsidRPr="0013064C">
              <w:rPr>
                <w:rFonts w:ascii="Arial" w:hAnsi="Arial" w:cs="Arial"/>
              </w:rPr>
              <w:t>s</w:t>
            </w:r>
            <w:r w:rsidRPr="0013064C">
              <w:rPr>
                <w:rFonts w:ascii="Arial" w:hAnsi="Arial" w:cs="Arial"/>
                <w:i/>
                <w:iCs/>
              </w:rPr>
              <w:t xml:space="preserve">pecifying that the trial is a non-inferiority or </w:t>
            </w:r>
            <w:proofErr w:type="gramStart"/>
            <w:r w:rsidRPr="0013064C">
              <w:rPr>
                <w:rFonts w:ascii="Arial" w:hAnsi="Arial" w:cs="Arial"/>
                <w:i/>
                <w:iCs/>
              </w:rPr>
              <w:t>equivalence  trial</w:t>
            </w:r>
            <w:proofErr w:type="gramEnd"/>
            <w:r w:rsidRPr="0013064C">
              <w:rPr>
                <w:rFonts w:ascii="Arial" w:hAnsi="Arial" w:cs="Arial"/>
                <w:i/>
                <w:iCs/>
              </w:rPr>
              <w:t>.</w:t>
            </w:r>
          </w:p>
        </w:tc>
        <w:tc>
          <w:tcPr>
            <w:tcW w:w="1350" w:type="dxa"/>
          </w:tcPr>
          <w:p w14:paraId="346466C5" w14:textId="77777777" w:rsidR="00121207" w:rsidRPr="0013064C" w:rsidRDefault="00121207" w:rsidP="008241F1">
            <w:pPr>
              <w:jc w:val="center"/>
              <w:rPr>
                <w:rFonts w:ascii="Arial" w:hAnsi="Arial" w:cs="Arial"/>
              </w:rPr>
            </w:pPr>
          </w:p>
        </w:tc>
      </w:tr>
      <w:tr w:rsidR="00121207" w:rsidRPr="0013064C" w14:paraId="1B119916" w14:textId="77777777" w:rsidTr="008241F1">
        <w:tc>
          <w:tcPr>
            <w:tcW w:w="2214" w:type="dxa"/>
          </w:tcPr>
          <w:p w14:paraId="20BFB4D1" w14:textId="77777777" w:rsidR="00121207" w:rsidRPr="0013064C" w:rsidRDefault="00121207" w:rsidP="008241F1">
            <w:pPr>
              <w:jc w:val="center"/>
              <w:rPr>
                <w:rFonts w:ascii="Arial" w:hAnsi="Arial" w:cs="Arial"/>
              </w:rPr>
            </w:pPr>
            <w:r w:rsidRPr="0013064C">
              <w:rPr>
                <w:rFonts w:ascii="Arial" w:hAnsi="Arial" w:cs="Arial"/>
                <w:i/>
                <w:iCs/>
              </w:rPr>
              <w:t>INTRODUCTION</w:t>
            </w:r>
            <w:r w:rsidRPr="0013064C">
              <w:rPr>
                <w:rFonts w:ascii="Arial" w:hAnsi="Arial" w:cs="Arial"/>
              </w:rPr>
              <w:br/>
              <w:t>Background</w:t>
            </w:r>
          </w:p>
        </w:tc>
        <w:tc>
          <w:tcPr>
            <w:tcW w:w="758" w:type="dxa"/>
          </w:tcPr>
          <w:p w14:paraId="758875B0" w14:textId="77777777" w:rsidR="00121207" w:rsidRPr="0013064C" w:rsidRDefault="00121207" w:rsidP="008241F1">
            <w:pPr>
              <w:jc w:val="center"/>
              <w:rPr>
                <w:rFonts w:ascii="Arial" w:hAnsi="Arial" w:cs="Arial"/>
              </w:rPr>
            </w:pPr>
            <w:r w:rsidRPr="0013064C">
              <w:rPr>
                <w:rFonts w:ascii="Arial" w:hAnsi="Arial" w:cs="Arial"/>
              </w:rPr>
              <w:t>2</w:t>
            </w:r>
          </w:p>
        </w:tc>
        <w:tc>
          <w:tcPr>
            <w:tcW w:w="5956" w:type="dxa"/>
          </w:tcPr>
          <w:p w14:paraId="0F17D0E2" w14:textId="77777777" w:rsidR="00121207" w:rsidRPr="0013064C" w:rsidRDefault="00311A0F" w:rsidP="008241F1">
            <w:pPr>
              <w:rPr>
                <w:rFonts w:ascii="Arial" w:hAnsi="Arial" w:cs="Arial"/>
              </w:rPr>
            </w:pPr>
            <w:hyperlink r:id="rId26" w:history="1">
              <w:r w:rsidR="00121207" w:rsidRPr="0013064C">
                <w:rPr>
                  <w:rStyle w:val="Hyperlink"/>
                  <w:rFonts w:cs="Arial"/>
                  <w:sz w:val="24"/>
                </w:rPr>
                <w:t>Scientific background and explanation of rationale</w:t>
              </w:r>
            </w:hyperlink>
            <w:r w:rsidR="00121207" w:rsidRPr="0013064C">
              <w:rPr>
                <w:rFonts w:ascii="Arial" w:hAnsi="Arial" w:cs="Arial"/>
              </w:rPr>
              <w:t>,</w:t>
            </w:r>
          </w:p>
          <w:p w14:paraId="1FB52FF7" w14:textId="77777777" w:rsidR="00121207" w:rsidRPr="0013064C" w:rsidRDefault="00121207" w:rsidP="008241F1">
            <w:pPr>
              <w:rPr>
                <w:rFonts w:ascii="Arial" w:hAnsi="Arial" w:cs="Arial"/>
              </w:rPr>
            </w:pPr>
            <w:r w:rsidRPr="0013064C">
              <w:rPr>
                <w:rFonts w:ascii="Arial" w:hAnsi="Arial" w:cs="Arial"/>
                <w:i/>
                <w:iCs/>
              </w:rPr>
              <w:t>including the rationale for using a non-inferiority or equivalence design.</w:t>
            </w:r>
          </w:p>
        </w:tc>
        <w:tc>
          <w:tcPr>
            <w:tcW w:w="1350" w:type="dxa"/>
          </w:tcPr>
          <w:p w14:paraId="04FDE39C" w14:textId="77777777" w:rsidR="00121207" w:rsidRPr="0013064C" w:rsidRDefault="00121207" w:rsidP="008241F1">
            <w:pPr>
              <w:jc w:val="center"/>
              <w:rPr>
                <w:rFonts w:ascii="Arial" w:hAnsi="Arial" w:cs="Arial"/>
              </w:rPr>
            </w:pPr>
          </w:p>
        </w:tc>
      </w:tr>
      <w:tr w:rsidR="00121207" w:rsidRPr="0013064C" w14:paraId="22EA4BDC" w14:textId="77777777" w:rsidTr="008241F1">
        <w:tc>
          <w:tcPr>
            <w:tcW w:w="2214" w:type="dxa"/>
          </w:tcPr>
          <w:p w14:paraId="0D2AAA6D" w14:textId="77777777" w:rsidR="00121207" w:rsidRPr="0013064C" w:rsidRDefault="00121207" w:rsidP="008241F1">
            <w:pPr>
              <w:jc w:val="center"/>
              <w:rPr>
                <w:rFonts w:ascii="Arial" w:hAnsi="Arial" w:cs="Arial"/>
              </w:rPr>
            </w:pPr>
            <w:r w:rsidRPr="0013064C">
              <w:rPr>
                <w:rFonts w:ascii="Arial" w:hAnsi="Arial" w:cs="Arial"/>
                <w:i/>
                <w:iCs/>
              </w:rPr>
              <w:t>METHODS</w:t>
            </w:r>
            <w:r w:rsidRPr="0013064C">
              <w:rPr>
                <w:rFonts w:ascii="Arial" w:hAnsi="Arial" w:cs="Arial"/>
              </w:rPr>
              <w:br/>
              <w:t>Participants</w:t>
            </w:r>
          </w:p>
        </w:tc>
        <w:tc>
          <w:tcPr>
            <w:tcW w:w="758" w:type="dxa"/>
          </w:tcPr>
          <w:p w14:paraId="38D8CB60" w14:textId="77777777" w:rsidR="00121207" w:rsidRPr="0013064C" w:rsidRDefault="00121207" w:rsidP="008241F1">
            <w:pPr>
              <w:jc w:val="center"/>
              <w:rPr>
                <w:rFonts w:ascii="Arial" w:hAnsi="Arial" w:cs="Arial"/>
              </w:rPr>
            </w:pPr>
            <w:r w:rsidRPr="0013064C">
              <w:rPr>
                <w:rFonts w:ascii="Arial" w:hAnsi="Arial" w:cs="Arial"/>
              </w:rPr>
              <w:t>3</w:t>
            </w:r>
          </w:p>
        </w:tc>
        <w:tc>
          <w:tcPr>
            <w:tcW w:w="5956" w:type="dxa"/>
          </w:tcPr>
          <w:p w14:paraId="6FFEE90E" w14:textId="77777777" w:rsidR="00121207" w:rsidRPr="0013064C" w:rsidRDefault="00311A0F" w:rsidP="008241F1">
            <w:pPr>
              <w:rPr>
                <w:rFonts w:ascii="Arial" w:hAnsi="Arial" w:cs="Arial"/>
              </w:rPr>
            </w:pPr>
            <w:hyperlink r:id="rId27" w:anchor="3a" w:history="1">
              <w:r w:rsidR="00121207" w:rsidRPr="0013064C">
                <w:rPr>
                  <w:rStyle w:val="Hyperlink"/>
                  <w:rFonts w:cs="Arial"/>
                  <w:sz w:val="24"/>
                </w:rPr>
                <w:t>Eligibility criteria for participants</w:t>
              </w:r>
            </w:hyperlink>
            <w:r w:rsidR="00121207" w:rsidRPr="0013064C">
              <w:rPr>
                <w:rFonts w:ascii="Arial" w:hAnsi="Arial" w:cs="Arial"/>
              </w:rPr>
              <w:t xml:space="preserve">  </w:t>
            </w:r>
            <w:r w:rsidR="00121207" w:rsidRPr="0013064C">
              <w:rPr>
                <w:rFonts w:ascii="Arial" w:hAnsi="Arial" w:cs="Arial"/>
                <w:i/>
                <w:iCs/>
              </w:rPr>
              <w:t xml:space="preserve">(detailing whether participants in the non-inferiority or equivalence trial are similar to those in any trial(s) that established efficacy of the reference treatment) </w:t>
            </w:r>
            <w:r w:rsidR="00121207" w:rsidRPr="0013064C">
              <w:rPr>
                <w:rFonts w:ascii="Arial" w:hAnsi="Arial" w:cs="Arial"/>
              </w:rPr>
              <w:t xml:space="preserve">and the </w:t>
            </w:r>
            <w:hyperlink r:id="rId28" w:anchor="3b" w:history="1">
              <w:r w:rsidR="00121207" w:rsidRPr="0013064C">
                <w:rPr>
                  <w:rStyle w:val="Hyperlink"/>
                  <w:rFonts w:cs="Arial"/>
                  <w:sz w:val="24"/>
                </w:rPr>
                <w:t>settings and locations where the data were collected</w:t>
              </w:r>
            </w:hyperlink>
            <w:r w:rsidR="00121207" w:rsidRPr="0013064C">
              <w:rPr>
                <w:rFonts w:ascii="Arial" w:hAnsi="Arial" w:cs="Arial"/>
              </w:rPr>
              <w:t>.</w:t>
            </w:r>
          </w:p>
        </w:tc>
        <w:tc>
          <w:tcPr>
            <w:tcW w:w="1350" w:type="dxa"/>
          </w:tcPr>
          <w:p w14:paraId="213FAD5B" w14:textId="77777777" w:rsidR="00121207" w:rsidRPr="0013064C" w:rsidRDefault="00121207" w:rsidP="008241F1">
            <w:pPr>
              <w:jc w:val="center"/>
              <w:rPr>
                <w:rFonts w:ascii="Arial" w:hAnsi="Arial" w:cs="Arial"/>
              </w:rPr>
            </w:pPr>
          </w:p>
        </w:tc>
      </w:tr>
      <w:tr w:rsidR="00121207" w:rsidRPr="0013064C" w14:paraId="2A2F5D8C" w14:textId="77777777" w:rsidTr="008241F1">
        <w:tc>
          <w:tcPr>
            <w:tcW w:w="2214" w:type="dxa"/>
          </w:tcPr>
          <w:p w14:paraId="116CFB8F" w14:textId="77777777" w:rsidR="00121207" w:rsidRPr="0013064C" w:rsidRDefault="00121207" w:rsidP="008241F1">
            <w:pPr>
              <w:jc w:val="center"/>
              <w:rPr>
                <w:rFonts w:ascii="Arial" w:hAnsi="Arial" w:cs="Arial"/>
              </w:rPr>
            </w:pPr>
            <w:r w:rsidRPr="0013064C">
              <w:rPr>
                <w:rFonts w:ascii="Arial" w:hAnsi="Arial" w:cs="Arial"/>
              </w:rPr>
              <w:t>Interventions</w:t>
            </w:r>
          </w:p>
        </w:tc>
        <w:tc>
          <w:tcPr>
            <w:tcW w:w="758" w:type="dxa"/>
          </w:tcPr>
          <w:p w14:paraId="1CFB5F1D" w14:textId="77777777" w:rsidR="00121207" w:rsidRPr="0013064C" w:rsidRDefault="00121207" w:rsidP="008241F1">
            <w:pPr>
              <w:jc w:val="center"/>
              <w:rPr>
                <w:rFonts w:ascii="Arial" w:hAnsi="Arial" w:cs="Arial"/>
              </w:rPr>
            </w:pPr>
            <w:r w:rsidRPr="0013064C">
              <w:rPr>
                <w:rFonts w:ascii="Arial" w:hAnsi="Arial" w:cs="Arial"/>
              </w:rPr>
              <w:t>4</w:t>
            </w:r>
          </w:p>
        </w:tc>
        <w:tc>
          <w:tcPr>
            <w:tcW w:w="5956" w:type="dxa"/>
          </w:tcPr>
          <w:p w14:paraId="727C9DEB" w14:textId="77777777" w:rsidR="00121207" w:rsidRPr="0013064C" w:rsidRDefault="00311A0F" w:rsidP="008241F1">
            <w:pPr>
              <w:rPr>
                <w:rFonts w:ascii="Arial" w:hAnsi="Arial" w:cs="Arial"/>
              </w:rPr>
            </w:pPr>
            <w:hyperlink r:id="rId29" w:history="1">
              <w:r w:rsidR="00121207" w:rsidRPr="0013064C">
                <w:rPr>
                  <w:rStyle w:val="Hyperlink"/>
                  <w:rFonts w:cs="Arial"/>
                  <w:sz w:val="24"/>
                </w:rPr>
                <w:t xml:space="preserve">Precise details of the interventions intended for each group </w:t>
              </w:r>
              <w:r w:rsidR="00121207" w:rsidRPr="0013064C">
                <w:rPr>
                  <w:rFonts w:ascii="Arial" w:hAnsi="Arial" w:cs="Arial"/>
                  <w:i/>
                  <w:iCs/>
                </w:rPr>
                <w:t xml:space="preserve">detailing whether the reference treatment in the non-inferiority or equivalence trial is identical (or </w:t>
              </w:r>
              <w:proofErr w:type="gramStart"/>
              <w:r w:rsidR="00121207" w:rsidRPr="0013064C">
                <w:rPr>
                  <w:rFonts w:ascii="Arial" w:hAnsi="Arial" w:cs="Arial"/>
                  <w:i/>
                  <w:iCs/>
                </w:rPr>
                <w:t>very  similar</w:t>
              </w:r>
              <w:proofErr w:type="gramEnd"/>
              <w:r w:rsidR="00121207" w:rsidRPr="0013064C">
                <w:rPr>
                  <w:rFonts w:ascii="Arial" w:hAnsi="Arial" w:cs="Arial"/>
                  <w:i/>
                  <w:iCs/>
                </w:rPr>
                <w:t>) to that in any trial(s) that established efficacy,</w:t>
              </w:r>
              <w:r w:rsidR="00121207" w:rsidRPr="0013064C">
                <w:rPr>
                  <w:rFonts w:ascii="Arial" w:hAnsi="Arial" w:cs="Arial"/>
                </w:rPr>
                <w:t xml:space="preserve"> </w:t>
              </w:r>
              <w:r w:rsidR="00121207" w:rsidRPr="0013064C">
                <w:rPr>
                  <w:rStyle w:val="Hyperlink"/>
                  <w:rFonts w:cs="Arial"/>
                  <w:sz w:val="24"/>
                </w:rPr>
                <w:t xml:space="preserve"> and how and when they were actually administered</w:t>
              </w:r>
            </w:hyperlink>
            <w:r w:rsidR="00121207" w:rsidRPr="0013064C">
              <w:rPr>
                <w:rFonts w:ascii="Arial" w:hAnsi="Arial" w:cs="Arial"/>
              </w:rPr>
              <w:t>.</w:t>
            </w:r>
          </w:p>
        </w:tc>
        <w:tc>
          <w:tcPr>
            <w:tcW w:w="1350" w:type="dxa"/>
          </w:tcPr>
          <w:p w14:paraId="31C33E07" w14:textId="77777777" w:rsidR="00121207" w:rsidRPr="0013064C" w:rsidRDefault="00121207" w:rsidP="008241F1">
            <w:pPr>
              <w:jc w:val="center"/>
              <w:rPr>
                <w:rFonts w:ascii="Arial" w:hAnsi="Arial" w:cs="Arial"/>
              </w:rPr>
            </w:pPr>
          </w:p>
        </w:tc>
      </w:tr>
      <w:tr w:rsidR="00121207" w:rsidRPr="0013064C" w14:paraId="3AA8CE05" w14:textId="77777777" w:rsidTr="008241F1">
        <w:tc>
          <w:tcPr>
            <w:tcW w:w="2214" w:type="dxa"/>
          </w:tcPr>
          <w:p w14:paraId="762496E0" w14:textId="77777777" w:rsidR="00121207" w:rsidRPr="0013064C" w:rsidRDefault="00121207" w:rsidP="008241F1">
            <w:pPr>
              <w:jc w:val="center"/>
              <w:rPr>
                <w:rFonts w:ascii="Arial" w:hAnsi="Arial" w:cs="Arial"/>
              </w:rPr>
            </w:pPr>
            <w:r w:rsidRPr="0013064C">
              <w:rPr>
                <w:rFonts w:ascii="Arial" w:hAnsi="Arial" w:cs="Arial"/>
              </w:rPr>
              <w:t>Objectives</w:t>
            </w:r>
          </w:p>
        </w:tc>
        <w:tc>
          <w:tcPr>
            <w:tcW w:w="758" w:type="dxa"/>
          </w:tcPr>
          <w:p w14:paraId="74BD1977" w14:textId="77777777" w:rsidR="00121207" w:rsidRPr="0013064C" w:rsidRDefault="00121207" w:rsidP="008241F1">
            <w:pPr>
              <w:jc w:val="center"/>
              <w:rPr>
                <w:rFonts w:ascii="Arial" w:hAnsi="Arial" w:cs="Arial"/>
              </w:rPr>
            </w:pPr>
            <w:r w:rsidRPr="0013064C">
              <w:rPr>
                <w:rFonts w:ascii="Arial" w:hAnsi="Arial" w:cs="Arial"/>
              </w:rPr>
              <w:t>5</w:t>
            </w:r>
          </w:p>
        </w:tc>
        <w:tc>
          <w:tcPr>
            <w:tcW w:w="5956" w:type="dxa"/>
          </w:tcPr>
          <w:p w14:paraId="1586E172" w14:textId="77777777" w:rsidR="00121207" w:rsidRPr="0013064C" w:rsidRDefault="00311A0F" w:rsidP="008241F1">
            <w:pPr>
              <w:rPr>
                <w:rFonts w:ascii="Arial" w:hAnsi="Arial" w:cs="Arial"/>
              </w:rPr>
            </w:pPr>
            <w:hyperlink r:id="rId30" w:history="1">
              <w:r w:rsidR="00121207" w:rsidRPr="0013064C">
                <w:rPr>
                  <w:rStyle w:val="Hyperlink"/>
                  <w:rFonts w:cs="Arial"/>
                  <w:sz w:val="24"/>
                </w:rPr>
                <w:t>Specific objectives and hypotheses</w:t>
              </w:r>
            </w:hyperlink>
            <w:r w:rsidR="00121207" w:rsidRPr="0013064C">
              <w:rPr>
                <w:rFonts w:ascii="Arial" w:hAnsi="Arial" w:cs="Arial"/>
              </w:rPr>
              <w:t xml:space="preserve">, </w:t>
            </w:r>
            <w:r w:rsidR="00121207" w:rsidRPr="0013064C">
              <w:rPr>
                <w:rFonts w:ascii="Arial" w:hAnsi="Arial" w:cs="Arial"/>
                <w:i/>
                <w:iCs/>
              </w:rPr>
              <w:t>including the hypothesis concerning non-inferiority or equivalence</w:t>
            </w:r>
            <w:r w:rsidR="00121207" w:rsidRPr="0013064C">
              <w:rPr>
                <w:rFonts w:ascii="Arial" w:hAnsi="Arial" w:cs="Arial"/>
              </w:rPr>
              <w:t>.</w:t>
            </w:r>
          </w:p>
        </w:tc>
        <w:tc>
          <w:tcPr>
            <w:tcW w:w="1350" w:type="dxa"/>
          </w:tcPr>
          <w:p w14:paraId="72838596" w14:textId="77777777" w:rsidR="00121207" w:rsidRPr="0013064C" w:rsidRDefault="00121207" w:rsidP="008241F1">
            <w:pPr>
              <w:jc w:val="center"/>
              <w:rPr>
                <w:rFonts w:ascii="Arial" w:hAnsi="Arial" w:cs="Arial"/>
              </w:rPr>
            </w:pPr>
          </w:p>
        </w:tc>
      </w:tr>
      <w:tr w:rsidR="00121207" w:rsidRPr="0013064C" w14:paraId="7463DD69" w14:textId="77777777" w:rsidTr="008241F1">
        <w:tc>
          <w:tcPr>
            <w:tcW w:w="2214" w:type="dxa"/>
          </w:tcPr>
          <w:p w14:paraId="78F45979" w14:textId="77777777" w:rsidR="00121207" w:rsidRPr="0013064C" w:rsidRDefault="00121207" w:rsidP="008241F1">
            <w:pPr>
              <w:jc w:val="center"/>
              <w:rPr>
                <w:rFonts w:ascii="Arial" w:hAnsi="Arial" w:cs="Arial"/>
              </w:rPr>
            </w:pPr>
            <w:r w:rsidRPr="0013064C">
              <w:rPr>
                <w:rFonts w:ascii="Arial" w:hAnsi="Arial" w:cs="Arial"/>
              </w:rPr>
              <w:t>Outcomes</w:t>
            </w:r>
          </w:p>
        </w:tc>
        <w:tc>
          <w:tcPr>
            <w:tcW w:w="758" w:type="dxa"/>
          </w:tcPr>
          <w:p w14:paraId="511977FC" w14:textId="77777777" w:rsidR="00121207" w:rsidRPr="0013064C" w:rsidRDefault="00121207" w:rsidP="008241F1">
            <w:pPr>
              <w:jc w:val="center"/>
              <w:rPr>
                <w:rFonts w:ascii="Arial" w:hAnsi="Arial" w:cs="Arial"/>
              </w:rPr>
            </w:pPr>
            <w:r w:rsidRPr="0013064C">
              <w:rPr>
                <w:rFonts w:ascii="Arial" w:hAnsi="Arial" w:cs="Arial"/>
              </w:rPr>
              <w:t>6</w:t>
            </w:r>
          </w:p>
        </w:tc>
        <w:tc>
          <w:tcPr>
            <w:tcW w:w="5956" w:type="dxa"/>
          </w:tcPr>
          <w:p w14:paraId="591CD04B" w14:textId="77777777" w:rsidR="00121207" w:rsidRPr="0013064C" w:rsidRDefault="00311A0F" w:rsidP="008241F1">
            <w:pPr>
              <w:rPr>
                <w:rFonts w:ascii="Arial" w:hAnsi="Arial" w:cs="Arial"/>
              </w:rPr>
            </w:pPr>
            <w:hyperlink r:id="rId31" w:anchor="6a" w:history="1">
              <w:r w:rsidR="00121207" w:rsidRPr="0013064C">
                <w:rPr>
                  <w:rStyle w:val="Hyperlink"/>
                  <w:rFonts w:cs="Arial"/>
                  <w:sz w:val="24"/>
                </w:rPr>
                <w:t>Clearly defined primary and secondary outcome measures</w:t>
              </w:r>
            </w:hyperlink>
            <w:r w:rsidR="00121207" w:rsidRPr="0013064C">
              <w:rPr>
                <w:rFonts w:ascii="Arial" w:hAnsi="Arial" w:cs="Arial"/>
              </w:rPr>
              <w:t xml:space="preserve"> </w:t>
            </w:r>
            <w:r w:rsidR="00121207" w:rsidRPr="0013064C">
              <w:rPr>
                <w:rFonts w:ascii="Arial" w:hAnsi="Arial" w:cs="Arial"/>
                <w:i/>
                <w:iCs/>
              </w:rPr>
              <w:t>detailing whether the outcomes in the non-inferiority or equivalence trial are identical (or very similar) to those in any trial(s) that established efficacy of the reference treatment</w:t>
            </w:r>
            <w:r w:rsidR="00121207" w:rsidRPr="0013064C">
              <w:rPr>
                <w:rFonts w:ascii="Arial" w:hAnsi="Arial" w:cs="Arial"/>
              </w:rPr>
              <w:t xml:space="preserve"> and, when applicable, any </w:t>
            </w:r>
            <w:hyperlink r:id="rId32" w:anchor="6b" w:history="1">
              <w:r w:rsidR="00121207" w:rsidRPr="0013064C">
                <w:rPr>
                  <w:rStyle w:val="Hyperlink"/>
                  <w:rFonts w:cs="Arial"/>
                  <w:sz w:val="24"/>
                </w:rPr>
                <w:t>methods used to enhance the quality of measurements</w:t>
              </w:r>
            </w:hyperlink>
            <w:r w:rsidR="00121207" w:rsidRPr="0013064C">
              <w:rPr>
                <w:rFonts w:ascii="Arial" w:hAnsi="Arial" w:cs="Arial"/>
              </w:rPr>
              <w:t xml:space="preserve"> (</w:t>
            </w:r>
            <w:r w:rsidR="00121207" w:rsidRPr="0013064C">
              <w:rPr>
                <w:rFonts w:ascii="Arial" w:hAnsi="Arial" w:cs="Arial"/>
                <w:i/>
                <w:iCs/>
              </w:rPr>
              <w:t>e.g.</w:t>
            </w:r>
            <w:r w:rsidR="00121207" w:rsidRPr="0013064C">
              <w:rPr>
                <w:rFonts w:ascii="Arial" w:hAnsi="Arial" w:cs="Arial"/>
              </w:rPr>
              <w:t>, multiple observations, training of assessors).</w:t>
            </w:r>
          </w:p>
        </w:tc>
        <w:tc>
          <w:tcPr>
            <w:tcW w:w="1350" w:type="dxa"/>
          </w:tcPr>
          <w:p w14:paraId="416FAD9B" w14:textId="77777777" w:rsidR="00121207" w:rsidRPr="0013064C" w:rsidRDefault="00121207" w:rsidP="008241F1">
            <w:pPr>
              <w:jc w:val="center"/>
              <w:rPr>
                <w:rFonts w:ascii="Arial" w:hAnsi="Arial" w:cs="Arial"/>
              </w:rPr>
            </w:pPr>
          </w:p>
        </w:tc>
      </w:tr>
      <w:tr w:rsidR="00121207" w:rsidRPr="0013064C" w14:paraId="71F786D4" w14:textId="77777777" w:rsidTr="008241F1">
        <w:tc>
          <w:tcPr>
            <w:tcW w:w="2214" w:type="dxa"/>
          </w:tcPr>
          <w:p w14:paraId="3631F7A3" w14:textId="77777777" w:rsidR="00121207" w:rsidRPr="0013064C" w:rsidRDefault="00121207" w:rsidP="008241F1">
            <w:pPr>
              <w:jc w:val="center"/>
              <w:rPr>
                <w:rFonts w:ascii="Arial" w:hAnsi="Arial" w:cs="Arial"/>
              </w:rPr>
            </w:pPr>
            <w:r w:rsidRPr="0013064C">
              <w:rPr>
                <w:rFonts w:ascii="Arial" w:hAnsi="Arial" w:cs="Arial"/>
              </w:rPr>
              <w:t>Sample size</w:t>
            </w:r>
          </w:p>
        </w:tc>
        <w:tc>
          <w:tcPr>
            <w:tcW w:w="758" w:type="dxa"/>
          </w:tcPr>
          <w:p w14:paraId="35F5F0AC" w14:textId="77777777" w:rsidR="00121207" w:rsidRPr="0013064C" w:rsidRDefault="00121207" w:rsidP="008241F1">
            <w:pPr>
              <w:jc w:val="center"/>
              <w:rPr>
                <w:rFonts w:ascii="Arial" w:hAnsi="Arial" w:cs="Arial"/>
              </w:rPr>
            </w:pPr>
            <w:r w:rsidRPr="0013064C">
              <w:rPr>
                <w:rFonts w:ascii="Arial" w:hAnsi="Arial" w:cs="Arial"/>
              </w:rPr>
              <w:t>7</w:t>
            </w:r>
          </w:p>
        </w:tc>
        <w:tc>
          <w:tcPr>
            <w:tcW w:w="5956" w:type="dxa"/>
          </w:tcPr>
          <w:p w14:paraId="371EC2C3" w14:textId="77777777" w:rsidR="00121207" w:rsidRPr="0013064C" w:rsidRDefault="00311A0F" w:rsidP="008241F1">
            <w:pPr>
              <w:rPr>
                <w:rFonts w:ascii="Arial" w:hAnsi="Arial" w:cs="Arial"/>
              </w:rPr>
            </w:pPr>
            <w:hyperlink r:id="rId33" w:anchor="7a" w:history="1">
              <w:r w:rsidR="00121207" w:rsidRPr="0013064C">
                <w:rPr>
                  <w:rStyle w:val="Hyperlink"/>
                  <w:rFonts w:cs="Arial"/>
                  <w:sz w:val="24"/>
                </w:rPr>
                <w:t>How sample size was determined</w:t>
              </w:r>
            </w:hyperlink>
            <w:r w:rsidR="00121207" w:rsidRPr="0013064C">
              <w:rPr>
                <w:rFonts w:ascii="Arial" w:hAnsi="Arial" w:cs="Arial"/>
              </w:rPr>
              <w:t xml:space="preserve"> </w:t>
            </w:r>
            <w:r w:rsidR="00121207" w:rsidRPr="0013064C">
              <w:rPr>
                <w:rFonts w:ascii="Arial" w:hAnsi="Arial" w:cs="Arial"/>
                <w:i/>
                <w:iCs/>
              </w:rPr>
              <w:t>detailing whether it was calculated using a non-inferiority or equivalence criterion and specifying the margin of equivalence with the rationale for its choice</w:t>
            </w:r>
            <w:r w:rsidR="00121207" w:rsidRPr="0013064C">
              <w:rPr>
                <w:rFonts w:ascii="Arial" w:hAnsi="Arial" w:cs="Arial"/>
              </w:rPr>
              <w:t xml:space="preserve">.  When applicable, </w:t>
            </w:r>
            <w:hyperlink r:id="rId34" w:anchor="7b" w:history="1">
              <w:r w:rsidR="00121207" w:rsidRPr="0013064C">
                <w:rPr>
                  <w:rStyle w:val="Hyperlink"/>
                  <w:rFonts w:cs="Arial"/>
                  <w:sz w:val="24"/>
                </w:rPr>
                <w:t>explanation of any interim analyses and stopping rules</w:t>
              </w:r>
            </w:hyperlink>
            <w:r w:rsidR="00121207" w:rsidRPr="0013064C">
              <w:rPr>
                <w:rFonts w:ascii="Arial" w:hAnsi="Arial" w:cs="Arial"/>
              </w:rPr>
              <w:t xml:space="preserve"> (</w:t>
            </w:r>
            <w:r w:rsidR="00121207" w:rsidRPr="0013064C">
              <w:rPr>
                <w:rFonts w:ascii="Arial" w:hAnsi="Arial" w:cs="Arial"/>
                <w:i/>
                <w:iCs/>
              </w:rPr>
              <w:t>and whether related to a non-inferiority or equivalence hypothesis</w:t>
            </w:r>
            <w:r w:rsidR="00121207" w:rsidRPr="0013064C">
              <w:rPr>
                <w:rFonts w:ascii="Arial" w:hAnsi="Arial" w:cs="Arial"/>
              </w:rPr>
              <w:t>).</w:t>
            </w:r>
          </w:p>
        </w:tc>
        <w:tc>
          <w:tcPr>
            <w:tcW w:w="1350" w:type="dxa"/>
          </w:tcPr>
          <w:p w14:paraId="3222893C" w14:textId="77777777" w:rsidR="00121207" w:rsidRPr="0013064C" w:rsidRDefault="00121207" w:rsidP="008241F1">
            <w:pPr>
              <w:jc w:val="center"/>
              <w:rPr>
                <w:rFonts w:ascii="Arial" w:hAnsi="Arial" w:cs="Arial"/>
              </w:rPr>
            </w:pPr>
          </w:p>
        </w:tc>
      </w:tr>
      <w:tr w:rsidR="00121207" w:rsidRPr="0013064C" w14:paraId="4777EE56" w14:textId="77777777" w:rsidTr="008241F1">
        <w:tc>
          <w:tcPr>
            <w:tcW w:w="2214" w:type="dxa"/>
          </w:tcPr>
          <w:p w14:paraId="3FFC7085" w14:textId="77777777" w:rsidR="00121207" w:rsidRPr="0013064C" w:rsidRDefault="00121207" w:rsidP="008241F1">
            <w:pPr>
              <w:jc w:val="center"/>
              <w:rPr>
                <w:rFonts w:ascii="Arial" w:hAnsi="Arial" w:cs="Arial"/>
              </w:rPr>
            </w:pPr>
            <w:r w:rsidRPr="0013064C">
              <w:rPr>
                <w:rFonts w:ascii="Arial" w:hAnsi="Arial" w:cs="Arial"/>
              </w:rPr>
              <w:t>Randomization --</w:t>
            </w:r>
            <w:r w:rsidRPr="0013064C">
              <w:rPr>
                <w:rFonts w:ascii="Arial" w:hAnsi="Arial" w:cs="Arial"/>
              </w:rPr>
              <w:br/>
              <w:t>Sequence generation</w:t>
            </w:r>
          </w:p>
        </w:tc>
        <w:tc>
          <w:tcPr>
            <w:tcW w:w="758" w:type="dxa"/>
          </w:tcPr>
          <w:p w14:paraId="527581BF" w14:textId="77777777" w:rsidR="00121207" w:rsidRPr="0013064C" w:rsidRDefault="00121207" w:rsidP="008241F1">
            <w:pPr>
              <w:jc w:val="center"/>
              <w:rPr>
                <w:rFonts w:ascii="Arial" w:hAnsi="Arial" w:cs="Arial"/>
              </w:rPr>
            </w:pPr>
            <w:r w:rsidRPr="0013064C">
              <w:rPr>
                <w:rFonts w:ascii="Arial" w:hAnsi="Arial" w:cs="Arial"/>
              </w:rPr>
              <w:t>8</w:t>
            </w:r>
          </w:p>
        </w:tc>
        <w:tc>
          <w:tcPr>
            <w:tcW w:w="5956" w:type="dxa"/>
          </w:tcPr>
          <w:p w14:paraId="00FF57A7" w14:textId="77777777" w:rsidR="00121207" w:rsidRPr="0013064C" w:rsidRDefault="00311A0F" w:rsidP="008241F1">
            <w:pPr>
              <w:rPr>
                <w:rFonts w:ascii="Arial" w:hAnsi="Arial" w:cs="Arial"/>
              </w:rPr>
            </w:pPr>
            <w:hyperlink r:id="rId35" w:history="1">
              <w:r w:rsidR="00121207" w:rsidRPr="0013064C">
                <w:rPr>
                  <w:rStyle w:val="Hyperlink"/>
                  <w:rFonts w:cs="Arial"/>
                  <w:sz w:val="24"/>
                </w:rPr>
                <w:t>Method used to generate the random allocation sequence, including details of any restrictions</w:t>
              </w:r>
            </w:hyperlink>
            <w:r w:rsidR="00121207" w:rsidRPr="0013064C">
              <w:rPr>
                <w:rFonts w:ascii="Arial" w:hAnsi="Arial" w:cs="Arial"/>
              </w:rPr>
              <w:t xml:space="preserve"> (</w:t>
            </w:r>
            <w:r w:rsidR="00121207" w:rsidRPr="0013064C">
              <w:rPr>
                <w:rFonts w:ascii="Arial" w:hAnsi="Arial" w:cs="Arial"/>
                <w:i/>
                <w:iCs/>
              </w:rPr>
              <w:t>e.g</w:t>
            </w:r>
            <w:r w:rsidR="00121207" w:rsidRPr="0013064C">
              <w:rPr>
                <w:rFonts w:ascii="Arial" w:hAnsi="Arial" w:cs="Arial"/>
              </w:rPr>
              <w:t>., blocking, stratification)</w:t>
            </w:r>
          </w:p>
        </w:tc>
        <w:tc>
          <w:tcPr>
            <w:tcW w:w="1350" w:type="dxa"/>
          </w:tcPr>
          <w:p w14:paraId="5ED25E49" w14:textId="77777777" w:rsidR="00121207" w:rsidRPr="0013064C" w:rsidRDefault="00121207" w:rsidP="008241F1">
            <w:pPr>
              <w:jc w:val="center"/>
              <w:rPr>
                <w:rFonts w:ascii="Arial" w:hAnsi="Arial" w:cs="Arial"/>
              </w:rPr>
            </w:pPr>
          </w:p>
        </w:tc>
      </w:tr>
      <w:tr w:rsidR="00121207" w:rsidRPr="0013064C" w14:paraId="29C8C18C" w14:textId="77777777" w:rsidTr="008241F1">
        <w:tc>
          <w:tcPr>
            <w:tcW w:w="2214" w:type="dxa"/>
          </w:tcPr>
          <w:p w14:paraId="5EFF3A0C" w14:textId="77777777" w:rsidR="00121207" w:rsidRPr="0013064C" w:rsidRDefault="00121207" w:rsidP="008241F1">
            <w:pPr>
              <w:jc w:val="center"/>
              <w:rPr>
                <w:rFonts w:ascii="Arial" w:hAnsi="Arial" w:cs="Arial"/>
              </w:rPr>
            </w:pPr>
            <w:r w:rsidRPr="0013064C">
              <w:rPr>
                <w:rFonts w:ascii="Arial" w:hAnsi="Arial" w:cs="Arial"/>
              </w:rPr>
              <w:t>Randomization --</w:t>
            </w:r>
            <w:r w:rsidRPr="0013064C">
              <w:rPr>
                <w:rFonts w:ascii="Arial" w:hAnsi="Arial" w:cs="Arial"/>
              </w:rPr>
              <w:br/>
              <w:t>Allocation concealment</w:t>
            </w:r>
          </w:p>
        </w:tc>
        <w:tc>
          <w:tcPr>
            <w:tcW w:w="758" w:type="dxa"/>
          </w:tcPr>
          <w:p w14:paraId="0062D247" w14:textId="77777777" w:rsidR="00121207" w:rsidRPr="0013064C" w:rsidRDefault="00121207" w:rsidP="008241F1">
            <w:pPr>
              <w:jc w:val="center"/>
              <w:rPr>
                <w:rFonts w:ascii="Arial" w:hAnsi="Arial" w:cs="Arial"/>
              </w:rPr>
            </w:pPr>
            <w:r w:rsidRPr="0013064C">
              <w:rPr>
                <w:rFonts w:ascii="Arial" w:hAnsi="Arial" w:cs="Arial"/>
              </w:rPr>
              <w:t>9</w:t>
            </w:r>
          </w:p>
        </w:tc>
        <w:tc>
          <w:tcPr>
            <w:tcW w:w="5956" w:type="dxa"/>
          </w:tcPr>
          <w:p w14:paraId="6A29A131" w14:textId="77777777" w:rsidR="00121207" w:rsidRPr="0013064C" w:rsidRDefault="00311A0F" w:rsidP="008241F1">
            <w:pPr>
              <w:rPr>
                <w:rFonts w:ascii="Arial" w:hAnsi="Arial" w:cs="Arial"/>
              </w:rPr>
            </w:pPr>
            <w:hyperlink r:id="rId36" w:history="1">
              <w:r w:rsidR="00121207" w:rsidRPr="0013064C">
                <w:rPr>
                  <w:rStyle w:val="Hyperlink"/>
                  <w:rFonts w:cs="Arial"/>
                  <w:sz w:val="24"/>
                </w:rPr>
                <w:t>Method used to implement the random allocation sequence</w:t>
              </w:r>
            </w:hyperlink>
            <w:r w:rsidR="00121207" w:rsidRPr="0013064C">
              <w:rPr>
                <w:rFonts w:ascii="Arial" w:hAnsi="Arial" w:cs="Arial"/>
              </w:rPr>
              <w:t xml:space="preserve"> (</w:t>
            </w:r>
            <w:r w:rsidR="00121207" w:rsidRPr="0013064C">
              <w:rPr>
                <w:rFonts w:ascii="Arial" w:hAnsi="Arial" w:cs="Arial"/>
                <w:i/>
                <w:iCs/>
              </w:rPr>
              <w:t>e.g</w:t>
            </w:r>
            <w:r w:rsidR="00121207" w:rsidRPr="0013064C">
              <w:rPr>
                <w:rFonts w:ascii="Arial" w:hAnsi="Arial" w:cs="Arial"/>
              </w:rPr>
              <w:t>., numbered containers or central telephone), clarifying whether the sequence was concealed until interventions were assigned.</w:t>
            </w:r>
          </w:p>
        </w:tc>
        <w:tc>
          <w:tcPr>
            <w:tcW w:w="1350" w:type="dxa"/>
          </w:tcPr>
          <w:p w14:paraId="5A19C5DE" w14:textId="77777777" w:rsidR="00121207" w:rsidRPr="0013064C" w:rsidRDefault="00121207" w:rsidP="008241F1">
            <w:pPr>
              <w:jc w:val="center"/>
              <w:rPr>
                <w:rFonts w:ascii="Arial" w:hAnsi="Arial" w:cs="Arial"/>
              </w:rPr>
            </w:pPr>
          </w:p>
        </w:tc>
      </w:tr>
      <w:tr w:rsidR="00121207" w:rsidRPr="0013064C" w14:paraId="1944140E" w14:textId="77777777" w:rsidTr="008241F1">
        <w:tc>
          <w:tcPr>
            <w:tcW w:w="2214" w:type="dxa"/>
          </w:tcPr>
          <w:p w14:paraId="15B5E0EB" w14:textId="77777777" w:rsidR="00121207" w:rsidRPr="0013064C" w:rsidRDefault="00121207" w:rsidP="008241F1">
            <w:pPr>
              <w:jc w:val="center"/>
              <w:rPr>
                <w:rFonts w:ascii="Arial" w:hAnsi="Arial" w:cs="Arial"/>
              </w:rPr>
            </w:pPr>
            <w:r w:rsidRPr="0013064C">
              <w:rPr>
                <w:rFonts w:ascii="Arial" w:hAnsi="Arial" w:cs="Arial"/>
              </w:rPr>
              <w:lastRenderedPageBreak/>
              <w:t>Randomization --</w:t>
            </w:r>
            <w:r w:rsidRPr="0013064C">
              <w:rPr>
                <w:rFonts w:ascii="Arial" w:hAnsi="Arial" w:cs="Arial"/>
              </w:rPr>
              <w:br/>
              <w:t>Implementation</w:t>
            </w:r>
          </w:p>
        </w:tc>
        <w:tc>
          <w:tcPr>
            <w:tcW w:w="758" w:type="dxa"/>
          </w:tcPr>
          <w:p w14:paraId="7D824EAA" w14:textId="77777777" w:rsidR="00121207" w:rsidRPr="0013064C" w:rsidRDefault="00121207" w:rsidP="008241F1">
            <w:pPr>
              <w:jc w:val="center"/>
              <w:rPr>
                <w:rFonts w:ascii="Arial" w:hAnsi="Arial" w:cs="Arial"/>
              </w:rPr>
            </w:pPr>
            <w:r w:rsidRPr="0013064C">
              <w:rPr>
                <w:rFonts w:ascii="Arial" w:hAnsi="Arial" w:cs="Arial"/>
              </w:rPr>
              <w:t>10</w:t>
            </w:r>
          </w:p>
        </w:tc>
        <w:tc>
          <w:tcPr>
            <w:tcW w:w="5956" w:type="dxa"/>
          </w:tcPr>
          <w:p w14:paraId="0B10D1E9" w14:textId="77777777" w:rsidR="00121207" w:rsidRPr="0013064C" w:rsidRDefault="00311A0F" w:rsidP="008241F1">
            <w:pPr>
              <w:rPr>
                <w:rFonts w:ascii="Arial" w:hAnsi="Arial" w:cs="Arial"/>
              </w:rPr>
            </w:pPr>
            <w:hyperlink r:id="rId37" w:history="1">
              <w:r w:rsidR="00121207" w:rsidRPr="0013064C">
                <w:rPr>
                  <w:rStyle w:val="Hyperlink"/>
                  <w:rFonts w:cs="Arial"/>
                  <w:sz w:val="24"/>
                </w:rPr>
                <w:t>Who generated the allocation sequence, who enrolled participants, and who assigned participants to their groups</w:t>
              </w:r>
            </w:hyperlink>
            <w:r w:rsidR="00121207" w:rsidRPr="0013064C">
              <w:rPr>
                <w:rFonts w:ascii="Arial" w:hAnsi="Arial" w:cs="Arial"/>
              </w:rPr>
              <w:t>.</w:t>
            </w:r>
          </w:p>
        </w:tc>
        <w:tc>
          <w:tcPr>
            <w:tcW w:w="1350" w:type="dxa"/>
          </w:tcPr>
          <w:p w14:paraId="1F519EC1" w14:textId="77777777" w:rsidR="00121207" w:rsidRPr="0013064C" w:rsidRDefault="00121207" w:rsidP="008241F1">
            <w:pPr>
              <w:jc w:val="center"/>
              <w:rPr>
                <w:rFonts w:ascii="Arial" w:hAnsi="Arial" w:cs="Arial"/>
              </w:rPr>
            </w:pPr>
          </w:p>
        </w:tc>
      </w:tr>
      <w:tr w:rsidR="00121207" w:rsidRPr="0013064C" w14:paraId="6E2A76BD" w14:textId="77777777" w:rsidTr="008241F1">
        <w:tc>
          <w:tcPr>
            <w:tcW w:w="2214" w:type="dxa"/>
          </w:tcPr>
          <w:p w14:paraId="63C20A91" w14:textId="77777777" w:rsidR="00121207" w:rsidRPr="0013064C" w:rsidRDefault="00121207" w:rsidP="008241F1">
            <w:pPr>
              <w:jc w:val="center"/>
              <w:rPr>
                <w:rFonts w:ascii="Arial" w:hAnsi="Arial" w:cs="Arial"/>
              </w:rPr>
            </w:pPr>
            <w:r w:rsidRPr="0013064C">
              <w:rPr>
                <w:rFonts w:ascii="Arial" w:hAnsi="Arial" w:cs="Arial"/>
              </w:rPr>
              <w:t>Blinding (masking)</w:t>
            </w:r>
          </w:p>
        </w:tc>
        <w:tc>
          <w:tcPr>
            <w:tcW w:w="758" w:type="dxa"/>
          </w:tcPr>
          <w:p w14:paraId="261C4055" w14:textId="77777777" w:rsidR="00121207" w:rsidRPr="0013064C" w:rsidRDefault="00121207" w:rsidP="008241F1">
            <w:pPr>
              <w:jc w:val="center"/>
              <w:rPr>
                <w:rFonts w:ascii="Arial" w:hAnsi="Arial" w:cs="Arial"/>
              </w:rPr>
            </w:pPr>
            <w:r w:rsidRPr="0013064C">
              <w:rPr>
                <w:rFonts w:ascii="Arial" w:hAnsi="Arial" w:cs="Arial"/>
              </w:rPr>
              <w:t>11</w:t>
            </w:r>
          </w:p>
        </w:tc>
        <w:tc>
          <w:tcPr>
            <w:tcW w:w="5956" w:type="dxa"/>
          </w:tcPr>
          <w:p w14:paraId="24DCC6AF" w14:textId="77777777" w:rsidR="00121207" w:rsidRPr="0013064C" w:rsidRDefault="00311A0F" w:rsidP="008241F1">
            <w:pPr>
              <w:rPr>
                <w:rFonts w:ascii="Arial" w:hAnsi="Arial" w:cs="Arial"/>
              </w:rPr>
            </w:pPr>
            <w:hyperlink r:id="rId38" w:anchor="11a" w:history="1">
              <w:r w:rsidR="00121207" w:rsidRPr="0013064C">
                <w:rPr>
                  <w:rStyle w:val="Hyperlink"/>
                  <w:rFonts w:cs="Arial"/>
                  <w:sz w:val="24"/>
                </w:rPr>
                <w:t>Whether or not participants, those administering the interventions, and those assessing the outcomes were blinded to group assignment</w:t>
              </w:r>
            </w:hyperlink>
            <w:r w:rsidR="00121207" w:rsidRPr="0013064C">
              <w:rPr>
                <w:rFonts w:ascii="Arial" w:hAnsi="Arial" w:cs="Arial"/>
              </w:rPr>
              <w:t xml:space="preserve">. If done, </w:t>
            </w:r>
            <w:hyperlink r:id="rId39" w:anchor="11b" w:history="1">
              <w:r w:rsidR="00121207" w:rsidRPr="0013064C">
                <w:rPr>
                  <w:rStyle w:val="Hyperlink"/>
                  <w:rFonts w:cs="Arial"/>
                  <w:sz w:val="24"/>
                </w:rPr>
                <w:t>how the success of blinding was evaluated</w:t>
              </w:r>
            </w:hyperlink>
            <w:r w:rsidR="00121207" w:rsidRPr="0013064C">
              <w:rPr>
                <w:rFonts w:ascii="Arial" w:hAnsi="Arial" w:cs="Arial"/>
              </w:rPr>
              <w:t>.</w:t>
            </w:r>
          </w:p>
        </w:tc>
        <w:tc>
          <w:tcPr>
            <w:tcW w:w="1350" w:type="dxa"/>
          </w:tcPr>
          <w:p w14:paraId="44BEFE31" w14:textId="77777777" w:rsidR="00121207" w:rsidRPr="0013064C" w:rsidRDefault="00121207" w:rsidP="008241F1">
            <w:pPr>
              <w:jc w:val="center"/>
              <w:rPr>
                <w:rFonts w:ascii="Arial" w:hAnsi="Arial" w:cs="Arial"/>
              </w:rPr>
            </w:pPr>
          </w:p>
        </w:tc>
      </w:tr>
      <w:tr w:rsidR="00121207" w:rsidRPr="0013064C" w14:paraId="1017EF20" w14:textId="77777777" w:rsidTr="008241F1">
        <w:tc>
          <w:tcPr>
            <w:tcW w:w="2214" w:type="dxa"/>
          </w:tcPr>
          <w:p w14:paraId="6E1A21CD" w14:textId="77777777" w:rsidR="00121207" w:rsidRPr="0013064C" w:rsidRDefault="00121207" w:rsidP="008241F1">
            <w:pPr>
              <w:jc w:val="center"/>
              <w:rPr>
                <w:rFonts w:ascii="Arial" w:hAnsi="Arial" w:cs="Arial"/>
              </w:rPr>
            </w:pPr>
            <w:r w:rsidRPr="0013064C">
              <w:rPr>
                <w:rFonts w:ascii="Arial" w:hAnsi="Arial" w:cs="Arial"/>
              </w:rPr>
              <w:t>Statistical methods</w:t>
            </w:r>
          </w:p>
        </w:tc>
        <w:tc>
          <w:tcPr>
            <w:tcW w:w="758" w:type="dxa"/>
          </w:tcPr>
          <w:p w14:paraId="7B8F9A19" w14:textId="77777777" w:rsidR="00121207" w:rsidRPr="0013064C" w:rsidRDefault="00121207" w:rsidP="008241F1">
            <w:pPr>
              <w:jc w:val="center"/>
              <w:rPr>
                <w:rFonts w:ascii="Arial" w:hAnsi="Arial" w:cs="Arial"/>
              </w:rPr>
            </w:pPr>
            <w:r w:rsidRPr="0013064C">
              <w:rPr>
                <w:rFonts w:ascii="Arial" w:hAnsi="Arial" w:cs="Arial"/>
              </w:rPr>
              <w:t>12</w:t>
            </w:r>
          </w:p>
        </w:tc>
        <w:tc>
          <w:tcPr>
            <w:tcW w:w="5956" w:type="dxa"/>
          </w:tcPr>
          <w:p w14:paraId="4F17AF30" w14:textId="77777777" w:rsidR="00121207" w:rsidRPr="0013064C" w:rsidRDefault="00311A0F" w:rsidP="008241F1">
            <w:pPr>
              <w:rPr>
                <w:rFonts w:ascii="Arial" w:hAnsi="Arial" w:cs="Arial"/>
              </w:rPr>
            </w:pPr>
            <w:hyperlink r:id="rId40" w:anchor="12a" w:history="1">
              <w:r w:rsidR="00121207" w:rsidRPr="0013064C">
                <w:rPr>
                  <w:rStyle w:val="Hyperlink"/>
                  <w:rFonts w:cs="Arial"/>
                  <w:sz w:val="24"/>
                </w:rPr>
                <w:t>Statistical methods used to compare groups for primary outcome(s)</w:t>
              </w:r>
            </w:hyperlink>
            <w:r w:rsidR="00121207" w:rsidRPr="0013064C">
              <w:rPr>
                <w:rFonts w:ascii="Arial" w:hAnsi="Arial" w:cs="Arial"/>
              </w:rPr>
              <w:t xml:space="preserve">, </w:t>
            </w:r>
            <w:r w:rsidR="00121207" w:rsidRPr="0013064C">
              <w:rPr>
                <w:rFonts w:ascii="Arial" w:hAnsi="Arial" w:cs="Arial"/>
                <w:i/>
                <w:iCs/>
              </w:rPr>
              <w:t>specifying whether a one or two-sided confidence interval approach was used</w:t>
            </w:r>
            <w:r w:rsidR="00121207" w:rsidRPr="0013064C">
              <w:rPr>
                <w:rFonts w:ascii="Arial" w:hAnsi="Arial" w:cs="Arial"/>
              </w:rPr>
              <w:t xml:space="preserve">.  </w:t>
            </w:r>
            <w:hyperlink r:id="rId41" w:anchor="12b" w:history="1">
              <w:r w:rsidR="00121207" w:rsidRPr="0013064C">
                <w:rPr>
                  <w:rStyle w:val="Hyperlink"/>
                  <w:rFonts w:cs="Arial"/>
                  <w:sz w:val="24"/>
                </w:rPr>
                <w:t>Methods for additional analyses</w:t>
              </w:r>
            </w:hyperlink>
            <w:r w:rsidR="00121207" w:rsidRPr="0013064C">
              <w:rPr>
                <w:rFonts w:ascii="Arial" w:hAnsi="Arial" w:cs="Arial"/>
              </w:rPr>
              <w:t>, such as subgroup analyses and adjusted analyses.</w:t>
            </w:r>
          </w:p>
        </w:tc>
        <w:tc>
          <w:tcPr>
            <w:tcW w:w="1350" w:type="dxa"/>
          </w:tcPr>
          <w:p w14:paraId="5AA892E3" w14:textId="77777777" w:rsidR="00121207" w:rsidRPr="0013064C" w:rsidRDefault="00121207" w:rsidP="008241F1">
            <w:pPr>
              <w:jc w:val="center"/>
              <w:rPr>
                <w:rFonts w:ascii="Arial" w:hAnsi="Arial" w:cs="Arial"/>
              </w:rPr>
            </w:pPr>
          </w:p>
        </w:tc>
      </w:tr>
      <w:tr w:rsidR="00121207" w:rsidRPr="0013064C" w14:paraId="1A6C4CDF" w14:textId="77777777" w:rsidTr="008241F1">
        <w:tc>
          <w:tcPr>
            <w:tcW w:w="2214" w:type="dxa"/>
          </w:tcPr>
          <w:p w14:paraId="4E3D90B1" w14:textId="77777777" w:rsidR="008241F1" w:rsidRPr="0013064C" w:rsidRDefault="00121207" w:rsidP="008241F1">
            <w:pPr>
              <w:pStyle w:val="Title"/>
              <w:jc w:val="center"/>
              <w:rPr>
                <w:i/>
                <w:sz w:val="24"/>
                <w:szCs w:val="24"/>
              </w:rPr>
            </w:pPr>
            <w:r w:rsidRPr="0013064C">
              <w:rPr>
                <w:i/>
                <w:sz w:val="24"/>
                <w:szCs w:val="24"/>
              </w:rPr>
              <w:t>RESULTS</w:t>
            </w:r>
          </w:p>
          <w:p w14:paraId="2A552C2B" w14:textId="271E3E02" w:rsidR="00121207" w:rsidRPr="0013064C" w:rsidRDefault="00121207" w:rsidP="008241F1">
            <w:pPr>
              <w:pStyle w:val="Title"/>
              <w:jc w:val="center"/>
              <w:rPr>
                <w:sz w:val="24"/>
                <w:szCs w:val="24"/>
              </w:rPr>
            </w:pPr>
            <w:r w:rsidRPr="0013064C">
              <w:rPr>
                <w:rFonts w:cs="Arial"/>
                <w:sz w:val="24"/>
                <w:szCs w:val="24"/>
              </w:rPr>
              <w:t>Participant flow</w:t>
            </w:r>
          </w:p>
          <w:p w14:paraId="208C3794" w14:textId="77777777" w:rsidR="00121207" w:rsidRPr="0013064C" w:rsidRDefault="00121207" w:rsidP="008241F1">
            <w:pPr>
              <w:jc w:val="center"/>
              <w:rPr>
                <w:rFonts w:ascii="Arial" w:hAnsi="Arial" w:cs="Arial"/>
              </w:rPr>
            </w:pPr>
          </w:p>
        </w:tc>
        <w:tc>
          <w:tcPr>
            <w:tcW w:w="758" w:type="dxa"/>
          </w:tcPr>
          <w:p w14:paraId="3E3CF275" w14:textId="77777777" w:rsidR="00121207" w:rsidRPr="0013064C" w:rsidRDefault="00121207" w:rsidP="008241F1">
            <w:pPr>
              <w:jc w:val="center"/>
              <w:rPr>
                <w:rFonts w:ascii="Arial" w:hAnsi="Arial" w:cs="Arial"/>
              </w:rPr>
            </w:pPr>
            <w:r w:rsidRPr="0013064C">
              <w:rPr>
                <w:rFonts w:ascii="Arial" w:hAnsi="Arial" w:cs="Arial"/>
              </w:rPr>
              <w:t>13</w:t>
            </w:r>
          </w:p>
        </w:tc>
        <w:tc>
          <w:tcPr>
            <w:tcW w:w="5956" w:type="dxa"/>
          </w:tcPr>
          <w:p w14:paraId="432E51DA" w14:textId="77777777" w:rsidR="00121207" w:rsidRPr="0013064C" w:rsidRDefault="00311A0F" w:rsidP="008241F1">
            <w:pPr>
              <w:rPr>
                <w:rFonts w:ascii="Arial" w:hAnsi="Arial" w:cs="Arial"/>
              </w:rPr>
            </w:pPr>
            <w:hyperlink r:id="rId42" w:history="1">
              <w:r w:rsidR="00121207" w:rsidRPr="0013064C">
                <w:rPr>
                  <w:rStyle w:val="Hyperlink"/>
                  <w:rFonts w:cs="Arial"/>
                  <w:sz w:val="24"/>
                </w:rPr>
                <w:t>Flow of participants through each stage</w:t>
              </w:r>
            </w:hyperlink>
            <w:r w:rsidR="00121207" w:rsidRPr="0013064C">
              <w:rPr>
                <w:rFonts w:ascii="Arial" w:hAnsi="Arial" w:cs="Arial"/>
              </w:rPr>
              <w:t xml:space="preserve"> (a diagram is strongly recommended). Specifically, for each group report the numbers of participants randomly assigned, receiving intended treatment, completing the study protocol, and </w:t>
            </w:r>
            <w:proofErr w:type="spellStart"/>
            <w:r w:rsidR="00121207" w:rsidRPr="0013064C">
              <w:rPr>
                <w:rFonts w:ascii="Arial" w:hAnsi="Arial" w:cs="Arial"/>
              </w:rPr>
              <w:t>analyzed</w:t>
            </w:r>
            <w:proofErr w:type="spellEnd"/>
            <w:r w:rsidR="00121207" w:rsidRPr="0013064C">
              <w:rPr>
                <w:rFonts w:ascii="Arial" w:hAnsi="Arial" w:cs="Arial"/>
              </w:rPr>
              <w:t xml:space="preserve"> for the primary outcome. </w:t>
            </w:r>
            <w:hyperlink r:id="rId43" w:history="1">
              <w:r w:rsidR="00121207" w:rsidRPr="0013064C">
                <w:rPr>
                  <w:rStyle w:val="Hyperlink"/>
                  <w:rFonts w:cs="Arial"/>
                  <w:sz w:val="24"/>
                </w:rPr>
                <w:t>Describe protocol deviations from study as planned, together with reasons</w:t>
              </w:r>
            </w:hyperlink>
            <w:r w:rsidR="00121207" w:rsidRPr="0013064C">
              <w:rPr>
                <w:rFonts w:ascii="Arial" w:hAnsi="Arial" w:cs="Arial"/>
              </w:rPr>
              <w:t>.</w:t>
            </w:r>
          </w:p>
        </w:tc>
        <w:tc>
          <w:tcPr>
            <w:tcW w:w="1350" w:type="dxa"/>
          </w:tcPr>
          <w:p w14:paraId="6306E42C" w14:textId="77777777" w:rsidR="00121207" w:rsidRPr="0013064C" w:rsidRDefault="00121207" w:rsidP="008241F1">
            <w:pPr>
              <w:jc w:val="center"/>
              <w:rPr>
                <w:rFonts w:ascii="Arial" w:hAnsi="Arial" w:cs="Arial"/>
              </w:rPr>
            </w:pPr>
          </w:p>
        </w:tc>
      </w:tr>
      <w:tr w:rsidR="00121207" w:rsidRPr="0013064C" w14:paraId="74D61E8C" w14:textId="77777777" w:rsidTr="008241F1">
        <w:tc>
          <w:tcPr>
            <w:tcW w:w="2214" w:type="dxa"/>
          </w:tcPr>
          <w:p w14:paraId="47CDB52B" w14:textId="77777777" w:rsidR="00121207" w:rsidRPr="0013064C" w:rsidRDefault="00121207" w:rsidP="008241F1">
            <w:pPr>
              <w:jc w:val="center"/>
              <w:rPr>
                <w:rFonts w:ascii="Arial" w:hAnsi="Arial" w:cs="Arial"/>
              </w:rPr>
            </w:pPr>
            <w:r w:rsidRPr="0013064C">
              <w:rPr>
                <w:rFonts w:ascii="Arial" w:hAnsi="Arial" w:cs="Arial"/>
              </w:rPr>
              <w:t>Recruitment</w:t>
            </w:r>
          </w:p>
        </w:tc>
        <w:tc>
          <w:tcPr>
            <w:tcW w:w="758" w:type="dxa"/>
          </w:tcPr>
          <w:p w14:paraId="39AC0844" w14:textId="77777777" w:rsidR="00121207" w:rsidRPr="0013064C" w:rsidRDefault="00121207" w:rsidP="008241F1">
            <w:pPr>
              <w:jc w:val="center"/>
              <w:rPr>
                <w:rFonts w:ascii="Arial" w:hAnsi="Arial" w:cs="Arial"/>
              </w:rPr>
            </w:pPr>
            <w:r w:rsidRPr="0013064C">
              <w:rPr>
                <w:rFonts w:ascii="Arial" w:hAnsi="Arial" w:cs="Arial"/>
              </w:rPr>
              <w:t>14</w:t>
            </w:r>
          </w:p>
        </w:tc>
        <w:tc>
          <w:tcPr>
            <w:tcW w:w="5956" w:type="dxa"/>
          </w:tcPr>
          <w:p w14:paraId="17C5E3C9" w14:textId="77777777" w:rsidR="00121207" w:rsidRPr="0013064C" w:rsidRDefault="00311A0F" w:rsidP="008241F1">
            <w:pPr>
              <w:rPr>
                <w:rFonts w:ascii="Arial" w:hAnsi="Arial" w:cs="Arial"/>
              </w:rPr>
            </w:pPr>
            <w:hyperlink r:id="rId44" w:history="1">
              <w:r w:rsidR="00121207" w:rsidRPr="0013064C">
                <w:rPr>
                  <w:rStyle w:val="Hyperlink"/>
                  <w:rFonts w:cs="Arial"/>
                  <w:sz w:val="24"/>
                </w:rPr>
                <w:t>Dates defining the periods of recruitment and follow-up</w:t>
              </w:r>
            </w:hyperlink>
            <w:r w:rsidR="00121207" w:rsidRPr="0013064C">
              <w:rPr>
                <w:rFonts w:ascii="Arial" w:hAnsi="Arial" w:cs="Arial"/>
              </w:rPr>
              <w:t>.</w:t>
            </w:r>
          </w:p>
        </w:tc>
        <w:tc>
          <w:tcPr>
            <w:tcW w:w="1350" w:type="dxa"/>
          </w:tcPr>
          <w:p w14:paraId="1DC049A6" w14:textId="77777777" w:rsidR="00121207" w:rsidRPr="0013064C" w:rsidRDefault="00121207" w:rsidP="008241F1">
            <w:pPr>
              <w:jc w:val="center"/>
              <w:rPr>
                <w:rFonts w:ascii="Arial" w:hAnsi="Arial" w:cs="Arial"/>
              </w:rPr>
            </w:pPr>
          </w:p>
        </w:tc>
      </w:tr>
      <w:tr w:rsidR="00121207" w:rsidRPr="0013064C" w14:paraId="2BC23629" w14:textId="77777777" w:rsidTr="008241F1">
        <w:tc>
          <w:tcPr>
            <w:tcW w:w="2214" w:type="dxa"/>
          </w:tcPr>
          <w:p w14:paraId="555ED85E" w14:textId="77777777" w:rsidR="00121207" w:rsidRPr="0013064C" w:rsidRDefault="00121207" w:rsidP="008241F1">
            <w:pPr>
              <w:jc w:val="center"/>
              <w:rPr>
                <w:rFonts w:ascii="Arial" w:hAnsi="Arial" w:cs="Arial"/>
              </w:rPr>
            </w:pPr>
            <w:r w:rsidRPr="0013064C">
              <w:rPr>
                <w:rFonts w:ascii="Arial" w:hAnsi="Arial" w:cs="Arial"/>
              </w:rPr>
              <w:t>Baseline data</w:t>
            </w:r>
          </w:p>
        </w:tc>
        <w:tc>
          <w:tcPr>
            <w:tcW w:w="758" w:type="dxa"/>
          </w:tcPr>
          <w:p w14:paraId="329F8390" w14:textId="77777777" w:rsidR="00121207" w:rsidRPr="0013064C" w:rsidRDefault="00121207" w:rsidP="008241F1">
            <w:pPr>
              <w:jc w:val="center"/>
              <w:rPr>
                <w:rFonts w:ascii="Arial" w:hAnsi="Arial" w:cs="Arial"/>
              </w:rPr>
            </w:pPr>
            <w:r w:rsidRPr="0013064C">
              <w:rPr>
                <w:rFonts w:ascii="Arial" w:hAnsi="Arial" w:cs="Arial"/>
              </w:rPr>
              <w:t>15</w:t>
            </w:r>
          </w:p>
        </w:tc>
        <w:tc>
          <w:tcPr>
            <w:tcW w:w="5956" w:type="dxa"/>
          </w:tcPr>
          <w:p w14:paraId="2C86F6FE" w14:textId="77777777" w:rsidR="00121207" w:rsidRPr="0013064C" w:rsidRDefault="00311A0F" w:rsidP="008241F1">
            <w:pPr>
              <w:rPr>
                <w:rFonts w:ascii="Arial" w:hAnsi="Arial" w:cs="Arial"/>
              </w:rPr>
            </w:pPr>
            <w:hyperlink r:id="rId45" w:history="1">
              <w:r w:rsidR="00121207" w:rsidRPr="0013064C">
                <w:rPr>
                  <w:rStyle w:val="Hyperlink"/>
                  <w:rFonts w:cs="Arial"/>
                  <w:sz w:val="24"/>
                </w:rPr>
                <w:t>Baseline demographic and clinical characteristics of each group</w:t>
              </w:r>
            </w:hyperlink>
            <w:r w:rsidR="00121207" w:rsidRPr="0013064C">
              <w:rPr>
                <w:rFonts w:ascii="Arial" w:hAnsi="Arial" w:cs="Arial"/>
              </w:rPr>
              <w:t>.</w:t>
            </w:r>
          </w:p>
        </w:tc>
        <w:tc>
          <w:tcPr>
            <w:tcW w:w="1350" w:type="dxa"/>
          </w:tcPr>
          <w:p w14:paraId="50BE3348" w14:textId="77777777" w:rsidR="00121207" w:rsidRPr="0013064C" w:rsidRDefault="00121207" w:rsidP="008241F1">
            <w:pPr>
              <w:jc w:val="center"/>
              <w:rPr>
                <w:rFonts w:ascii="Arial" w:hAnsi="Arial" w:cs="Arial"/>
              </w:rPr>
            </w:pPr>
          </w:p>
        </w:tc>
      </w:tr>
      <w:tr w:rsidR="00121207" w:rsidRPr="0013064C" w14:paraId="1387F824" w14:textId="77777777" w:rsidTr="008241F1">
        <w:tc>
          <w:tcPr>
            <w:tcW w:w="2214" w:type="dxa"/>
          </w:tcPr>
          <w:p w14:paraId="54A4970A" w14:textId="77777777" w:rsidR="00121207" w:rsidRPr="0013064C" w:rsidRDefault="00121207" w:rsidP="008241F1">
            <w:pPr>
              <w:jc w:val="center"/>
              <w:rPr>
                <w:rFonts w:ascii="Arial" w:hAnsi="Arial" w:cs="Arial"/>
              </w:rPr>
            </w:pPr>
            <w:r w:rsidRPr="0013064C">
              <w:rPr>
                <w:rFonts w:ascii="Arial" w:hAnsi="Arial" w:cs="Arial"/>
              </w:rPr>
              <w:t xml:space="preserve">Numbers </w:t>
            </w:r>
            <w:proofErr w:type="spellStart"/>
            <w:r w:rsidRPr="0013064C">
              <w:rPr>
                <w:rFonts w:ascii="Arial" w:hAnsi="Arial" w:cs="Arial"/>
              </w:rPr>
              <w:t>analyzed</w:t>
            </w:r>
            <w:proofErr w:type="spellEnd"/>
          </w:p>
        </w:tc>
        <w:tc>
          <w:tcPr>
            <w:tcW w:w="758" w:type="dxa"/>
          </w:tcPr>
          <w:p w14:paraId="494333CC" w14:textId="77777777" w:rsidR="00121207" w:rsidRPr="0013064C" w:rsidRDefault="00121207" w:rsidP="008241F1">
            <w:pPr>
              <w:jc w:val="center"/>
              <w:rPr>
                <w:rFonts w:ascii="Arial" w:hAnsi="Arial" w:cs="Arial"/>
              </w:rPr>
            </w:pPr>
            <w:r w:rsidRPr="0013064C">
              <w:rPr>
                <w:rFonts w:ascii="Arial" w:hAnsi="Arial" w:cs="Arial"/>
              </w:rPr>
              <w:t>16</w:t>
            </w:r>
          </w:p>
        </w:tc>
        <w:tc>
          <w:tcPr>
            <w:tcW w:w="5956" w:type="dxa"/>
          </w:tcPr>
          <w:p w14:paraId="3226F8CB" w14:textId="77777777" w:rsidR="00121207" w:rsidRPr="0013064C" w:rsidRDefault="00311A0F" w:rsidP="008241F1">
            <w:pPr>
              <w:rPr>
                <w:rFonts w:ascii="Arial" w:hAnsi="Arial" w:cs="Arial"/>
              </w:rPr>
            </w:pPr>
            <w:hyperlink r:id="rId46" w:history="1">
              <w:r w:rsidR="00121207" w:rsidRPr="0013064C">
                <w:rPr>
                  <w:rStyle w:val="Hyperlink"/>
                  <w:rFonts w:cs="Arial"/>
                  <w:sz w:val="24"/>
                </w:rPr>
                <w:t xml:space="preserve">Number of participants (denominator) in each group included in each analysis and whether the analysis was </w:t>
              </w:r>
            </w:hyperlink>
            <w:r w:rsidR="00121207" w:rsidRPr="0013064C">
              <w:rPr>
                <w:rFonts w:ascii="Arial" w:hAnsi="Arial" w:cs="Arial"/>
                <w:i/>
              </w:rPr>
              <w:t>“intention-to-treat”</w:t>
            </w:r>
            <w:r w:rsidR="00121207" w:rsidRPr="0013064C">
              <w:rPr>
                <w:rFonts w:ascii="Arial" w:hAnsi="Arial" w:cs="Arial"/>
              </w:rPr>
              <w:t xml:space="preserve"> </w:t>
            </w:r>
            <w:r w:rsidR="00121207" w:rsidRPr="0013064C">
              <w:rPr>
                <w:rFonts w:ascii="Arial" w:hAnsi="Arial" w:cs="Arial"/>
                <w:i/>
                <w:iCs/>
              </w:rPr>
              <w:t>and/or</w:t>
            </w:r>
            <w:r w:rsidR="00121207" w:rsidRPr="0013064C">
              <w:rPr>
                <w:rFonts w:ascii="Arial" w:hAnsi="Arial" w:cs="Arial"/>
              </w:rPr>
              <w:t xml:space="preserve"> </w:t>
            </w:r>
            <w:r w:rsidR="00121207" w:rsidRPr="0013064C">
              <w:rPr>
                <w:rFonts w:ascii="Arial" w:hAnsi="Arial" w:cs="Arial"/>
                <w:i/>
              </w:rPr>
              <w:t>alternative</w:t>
            </w:r>
            <w:r w:rsidR="00121207" w:rsidRPr="0013064C">
              <w:rPr>
                <w:rFonts w:ascii="Arial" w:hAnsi="Arial" w:cs="Arial"/>
                <w:i/>
                <w:iCs/>
              </w:rPr>
              <w:t xml:space="preserve"> analyses were conducted</w:t>
            </w:r>
            <w:r w:rsidR="00121207" w:rsidRPr="0013064C">
              <w:rPr>
                <w:rFonts w:ascii="Arial" w:hAnsi="Arial" w:cs="Arial"/>
              </w:rPr>
              <w:t>.   State the results in absolute numbers when feasible (</w:t>
            </w:r>
            <w:r w:rsidR="00121207" w:rsidRPr="0013064C">
              <w:rPr>
                <w:rFonts w:ascii="Arial" w:hAnsi="Arial" w:cs="Arial"/>
                <w:i/>
                <w:iCs/>
              </w:rPr>
              <w:t>e.g</w:t>
            </w:r>
            <w:r w:rsidR="00121207" w:rsidRPr="0013064C">
              <w:rPr>
                <w:rFonts w:ascii="Arial" w:hAnsi="Arial" w:cs="Arial"/>
              </w:rPr>
              <w:t>., 10/20, not 50%).</w:t>
            </w:r>
          </w:p>
        </w:tc>
        <w:tc>
          <w:tcPr>
            <w:tcW w:w="1350" w:type="dxa"/>
          </w:tcPr>
          <w:p w14:paraId="1C235BDD" w14:textId="77777777" w:rsidR="00121207" w:rsidRPr="0013064C" w:rsidRDefault="00121207" w:rsidP="008241F1">
            <w:pPr>
              <w:jc w:val="center"/>
              <w:rPr>
                <w:rFonts w:ascii="Arial" w:hAnsi="Arial" w:cs="Arial"/>
              </w:rPr>
            </w:pPr>
          </w:p>
        </w:tc>
      </w:tr>
      <w:tr w:rsidR="00121207" w:rsidRPr="0013064C" w14:paraId="3F61C858" w14:textId="77777777" w:rsidTr="008241F1">
        <w:tc>
          <w:tcPr>
            <w:tcW w:w="2214" w:type="dxa"/>
          </w:tcPr>
          <w:p w14:paraId="62474229" w14:textId="77777777" w:rsidR="00121207" w:rsidRPr="0013064C" w:rsidRDefault="00121207" w:rsidP="008241F1">
            <w:pPr>
              <w:jc w:val="center"/>
              <w:rPr>
                <w:rFonts w:ascii="Arial" w:hAnsi="Arial" w:cs="Arial"/>
              </w:rPr>
            </w:pPr>
            <w:r w:rsidRPr="0013064C">
              <w:rPr>
                <w:rFonts w:ascii="Arial" w:hAnsi="Arial" w:cs="Arial"/>
              </w:rPr>
              <w:t>Outcomes and estimation</w:t>
            </w:r>
          </w:p>
        </w:tc>
        <w:tc>
          <w:tcPr>
            <w:tcW w:w="758" w:type="dxa"/>
          </w:tcPr>
          <w:p w14:paraId="62C20ADD" w14:textId="77777777" w:rsidR="00121207" w:rsidRPr="0013064C" w:rsidRDefault="00121207" w:rsidP="008241F1">
            <w:pPr>
              <w:jc w:val="center"/>
              <w:rPr>
                <w:rFonts w:ascii="Arial" w:hAnsi="Arial" w:cs="Arial"/>
              </w:rPr>
            </w:pPr>
            <w:r w:rsidRPr="0013064C">
              <w:rPr>
                <w:rFonts w:ascii="Arial" w:hAnsi="Arial" w:cs="Arial"/>
              </w:rPr>
              <w:t>17</w:t>
            </w:r>
          </w:p>
        </w:tc>
        <w:tc>
          <w:tcPr>
            <w:tcW w:w="5956" w:type="dxa"/>
          </w:tcPr>
          <w:p w14:paraId="4927B6AC" w14:textId="77777777" w:rsidR="00121207" w:rsidRPr="0013064C" w:rsidRDefault="00311A0F" w:rsidP="008241F1">
            <w:pPr>
              <w:rPr>
                <w:rFonts w:ascii="Arial" w:hAnsi="Arial" w:cs="Arial"/>
              </w:rPr>
            </w:pPr>
            <w:hyperlink r:id="rId47" w:history="1">
              <w:r w:rsidR="00121207" w:rsidRPr="0013064C">
                <w:rPr>
                  <w:rStyle w:val="Hyperlink"/>
                  <w:rFonts w:cs="Arial"/>
                  <w:sz w:val="24"/>
                </w:rPr>
                <w:t>For each primary and secondary outcome, a summary of results for each group, and the estimated effect size and its precision</w:t>
              </w:r>
            </w:hyperlink>
            <w:r w:rsidR="00121207" w:rsidRPr="0013064C">
              <w:rPr>
                <w:rFonts w:ascii="Arial" w:hAnsi="Arial" w:cs="Arial"/>
              </w:rPr>
              <w:t xml:space="preserve"> (</w:t>
            </w:r>
            <w:r w:rsidR="00121207" w:rsidRPr="0013064C">
              <w:rPr>
                <w:rFonts w:ascii="Arial" w:hAnsi="Arial" w:cs="Arial"/>
                <w:i/>
                <w:iCs/>
              </w:rPr>
              <w:t>e.g.</w:t>
            </w:r>
            <w:r w:rsidR="00121207" w:rsidRPr="0013064C">
              <w:rPr>
                <w:rFonts w:ascii="Arial" w:hAnsi="Arial" w:cs="Arial"/>
              </w:rPr>
              <w:t xml:space="preserve">, 95% confidence interval). </w:t>
            </w:r>
            <w:r w:rsidR="00121207" w:rsidRPr="0013064C">
              <w:rPr>
                <w:rFonts w:ascii="Arial" w:hAnsi="Arial" w:cs="Arial"/>
                <w:i/>
                <w:iCs/>
              </w:rPr>
              <w:t>For the outcome(s) for which non-inferiority or equivalence is hypothesized, a figure showing confidence intervals and margins of equivalence may be useful</w:t>
            </w:r>
            <w:r w:rsidR="00121207" w:rsidRPr="0013064C">
              <w:rPr>
                <w:rFonts w:ascii="Arial" w:hAnsi="Arial" w:cs="Arial"/>
              </w:rPr>
              <w:t>.</w:t>
            </w:r>
          </w:p>
        </w:tc>
        <w:tc>
          <w:tcPr>
            <w:tcW w:w="1350" w:type="dxa"/>
          </w:tcPr>
          <w:p w14:paraId="1397BE07" w14:textId="77777777" w:rsidR="00121207" w:rsidRPr="0013064C" w:rsidRDefault="00121207" w:rsidP="008241F1">
            <w:pPr>
              <w:jc w:val="center"/>
              <w:rPr>
                <w:rFonts w:ascii="Arial" w:hAnsi="Arial" w:cs="Arial"/>
              </w:rPr>
            </w:pPr>
          </w:p>
        </w:tc>
      </w:tr>
      <w:tr w:rsidR="00121207" w:rsidRPr="0013064C" w14:paraId="7916ED9A" w14:textId="77777777" w:rsidTr="008241F1">
        <w:tc>
          <w:tcPr>
            <w:tcW w:w="2214" w:type="dxa"/>
          </w:tcPr>
          <w:p w14:paraId="254F9B7B" w14:textId="77777777" w:rsidR="00121207" w:rsidRPr="0013064C" w:rsidRDefault="00121207" w:rsidP="008241F1">
            <w:pPr>
              <w:jc w:val="center"/>
              <w:rPr>
                <w:rFonts w:ascii="Arial" w:hAnsi="Arial" w:cs="Arial"/>
              </w:rPr>
            </w:pPr>
            <w:r w:rsidRPr="0013064C">
              <w:rPr>
                <w:rFonts w:ascii="Arial" w:hAnsi="Arial" w:cs="Arial"/>
              </w:rPr>
              <w:t>Ancillary analyses</w:t>
            </w:r>
          </w:p>
        </w:tc>
        <w:tc>
          <w:tcPr>
            <w:tcW w:w="758" w:type="dxa"/>
          </w:tcPr>
          <w:p w14:paraId="7A0C8A68" w14:textId="77777777" w:rsidR="00121207" w:rsidRPr="0013064C" w:rsidRDefault="00121207" w:rsidP="008241F1">
            <w:pPr>
              <w:jc w:val="center"/>
              <w:rPr>
                <w:rFonts w:ascii="Arial" w:hAnsi="Arial" w:cs="Arial"/>
              </w:rPr>
            </w:pPr>
            <w:r w:rsidRPr="0013064C">
              <w:rPr>
                <w:rFonts w:ascii="Arial" w:hAnsi="Arial" w:cs="Arial"/>
              </w:rPr>
              <w:t>18</w:t>
            </w:r>
          </w:p>
        </w:tc>
        <w:tc>
          <w:tcPr>
            <w:tcW w:w="5956" w:type="dxa"/>
          </w:tcPr>
          <w:p w14:paraId="4E26B7FC" w14:textId="77777777" w:rsidR="00121207" w:rsidRPr="0013064C" w:rsidRDefault="00311A0F" w:rsidP="008241F1">
            <w:pPr>
              <w:rPr>
                <w:rFonts w:ascii="Arial" w:hAnsi="Arial" w:cs="Arial"/>
              </w:rPr>
            </w:pPr>
            <w:hyperlink r:id="rId48" w:history="1">
              <w:r w:rsidR="00121207" w:rsidRPr="0013064C">
                <w:rPr>
                  <w:rStyle w:val="Hyperlink"/>
                  <w:rFonts w:cs="Arial"/>
                  <w:sz w:val="24"/>
                </w:rPr>
                <w:t>Address multiplicity by reporting any other analyses performed</w:t>
              </w:r>
            </w:hyperlink>
            <w:r w:rsidR="00121207" w:rsidRPr="0013064C">
              <w:rPr>
                <w:rFonts w:ascii="Arial" w:hAnsi="Arial" w:cs="Arial"/>
              </w:rPr>
              <w:t>, including subgroup analyses and adjusted analyses, indicating those pre-specified and those exploratory.</w:t>
            </w:r>
          </w:p>
        </w:tc>
        <w:tc>
          <w:tcPr>
            <w:tcW w:w="1350" w:type="dxa"/>
          </w:tcPr>
          <w:p w14:paraId="3E6D104B" w14:textId="77777777" w:rsidR="00121207" w:rsidRPr="0013064C" w:rsidRDefault="00121207" w:rsidP="008241F1">
            <w:pPr>
              <w:jc w:val="center"/>
              <w:rPr>
                <w:rFonts w:ascii="Arial" w:hAnsi="Arial" w:cs="Arial"/>
              </w:rPr>
            </w:pPr>
          </w:p>
        </w:tc>
      </w:tr>
      <w:tr w:rsidR="00121207" w:rsidRPr="0013064C" w14:paraId="7C8B8352" w14:textId="77777777" w:rsidTr="008241F1">
        <w:tc>
          <w:tcPr>
            <w:tcW w:w="2214" w:type="dxa"/>
          </w:tcPr>
          <w:p w14:paraId="7FA61D69" w14:textId="77777777" w:rsidR="00121207" w:rsidRPr="0013064C" w:rsidRDefault="00121207" w:rsidP="008241F1">
            <w:pPr>
              <w:jc w:val="center"/>
              <w:rPr>
                <w:rFonts w:ascii="Arial" w:hAnsi="Arial" w:cs="Arial"/>
              </w:rPr>
            </w:pPr>
            <w:r w:rsidRPr="0013064C">
              <w:rPr>
                <w:rFonts w:ascii="Arial" w:hAnsi="Arial" w:cs="Arial"/>
              </w:rPr>
              <w:t>Adverse events</w:t>
            </w:r>
          </w:p>
        </w:tc>
        <w:tc>
          <w:tcPr>
            <w:tcW w:w="758" w:type="dxa"/>
          </w:tcPr>
          <w:p w14:paraId="22C337B6" w14:textId="77777777" w:rsidR="00121207" w:rsidRPr="0013064C" w:rsidRDefault="00121207" w:rsidP="008241F1">
            <w:pPr>
              <w:jc w:val="center"/>
              <w:rPr>
                <w:rFonts w:ascii="Arial" w:hAnsi="Arial" w:cs="Arial"/>
              </w:rPr>
            </w:pPr>
            <w:r w:rsidRPr="0013064C">
              <w:rPr>
                <w:rFonts w:ascii="Arial" w:hAnsi="Arial" w:cs="Arial"/>
              </w:rPr>
              <w:t>19</w:t>
            </w:r>
          </w:p>
        </w:tc>
        <w:tc>
          <w:tcPr>
            <w:tcW w:w="5956" w:type="dxa"/>
          </w:tcPr>
          <w:p w14:paraId="363D109E" w14:textId="77777777" w:rsidR="00121207" w:rsidRPr="0013064C" w:rsidRDefault="00311A0F" w:rsidP="008241F1">
            <w:pPr>
              <w:rPr>
                <w:rFonts w:ascii="Arial" w:hAnsi="Arial" w:cs="Arial"/>
              </w:rPr>
            </w:pPr>
            <w:hyperlink r:id="rId49" w:history="1">
              <w:proofErr w:type="spellStart"/>
              <w:r w:rsidR="00121207" w:rsidRPr="0013064C">
                <w:rPr>
                  <w:rStyle w:val="Hyperlink"/>
                  <w:rFonts w:cs="Arial"/>
                  <w:sz w:val="24"/>
                </w:rPr>
                <w:t>All important</w:t>
              </w:r>
              <w:proofErr w:type="spellEnd"/>
              <w:r w:rsidR="00121207" w:rsidRPr="0013064C">
                <w:rPr>
                  <w:rStyle w:val="Hyperlink"/>
                  <w:rFonts w:cs="Arial"/>
                  <w:sz w:val="24"/>
                </w:rPr>
                <w:t xml:space="preserve"> adverse events or side effects in each intervention group</w:t>
              </w:r>
            </w:hyperlink>
            <w:r w:rsidR="00121207" w:rsidRPr="0013064C">
              <w:rPr>
                <w:rFonts w:ascii="Arial" w:hAnsi="Arial" w:cs="Arial"/>
              </w:rPr>
              <w:t>.</w:t>
            </w:r>
          </w:p>
        </w:tc>
        <w:tc>
          <w:tcPr>
            <w:tcW w:w="1350" w:type="dxa"/>
          </w:tcPr>
          <w:p w14:paraId="5FB34C85" w14:textId="77777777" w:rsidR="00121207" w:rsidRPr="0013064C" w:rsidRDefault="00121207" w:rsidP="008241F1">
            <w:pPr>
              <w:jc w:val="center"/>
              <w:rPr>
                <w:rFonts w:ascii="Arial" w:hAnsi="Arial" w:cs="Arial"/>
              </w:rPr>
            </w:pPr>
          </w:p>
        </w:tc>
      </w:tr>
      <w:tr w:rsidR="00121207" w:rsidRPr="0013064C" w14:paraId="6FEA6798" w14:textId="77777777" w:rsidTr="008241F1">
        <w:tc>
          <w:tcPr>
            <w:tcW w:w="2214" w:type="dxa"/>
          </w:tcPr>
          <w:p w14:paraId="0F39EE68" w14:textId="77777777" w:rsidR="00121207" w:rsidRPr="0013064C" w:rsidRDefault="00121207" w:rsidP="008241F1">
            <w:pPr>
              <w:jc w:val="center"/>
              <w:rPr>
                <w:rFonts w:ascii="Arial" w:hAnsi="Arial" w:cs="Arial"/>
              </w:rPr>
            </w:pPr>
            <w:r w:rsidRPr="0013064C">
              <w:rPr>
                <w:rFonts w:ascii="Arial" w:hAnsi="Arial" w:cs="Arial"/>
                <w:i/>
                <w:iCs/>
              </w:rPr>
              <w:t>DISCUSSION</w:t>
            </w:r>
            <w:r w:rsidRPr="0013064C">
              <w:rPr>
                <w:rFonts w:ascii="Arial" w:hAnsi="Arial" w:cs="Arial"/>
              </w:rPr>
              <w:br/>
              <w:t>Interpretation</w:t>
            </w:r>
          </w:p>
        </w:tc>
        <w:tc>
          <w:tcPr>
            <w:tcW w:w="758" w:type="dxa"/>
          </w:tcPr>
          <w:p w14:paraId="3C7BCAF2" w14:textId="77777777" w:rsidR="00121207" w:rsidRPr="0013064C" w:rsidRDefault="00121207" w:rsidP="008241F1">
            <w:pPr>
              <w:jc w:val="center"/>
              <w:rPr>
                <w:rFonts w:ascii="Arial" w:hAnsi="Arial" w:cs="Arial"/>
              </w:rPr>
            </w:pPr>
            <w:r w:rsidRPr="0013064C">
              <w:rPr>
                <w:rFonts w:ascii="Arial" w:hAnsi="Arial" w:cs="Arial"/>
              </w:rPr>
              <w:t>20</w:t>
            </w:r>
          </w:p>
        </w:tc>
        <w:tc>
          <w:tcPr>
            <w:tcW w:w="5956" w:type="dxa"/>
          </w:tcPr>
          <w:p w14:paraId="74258479" w14:textId="77777777" w:rsidR="00121207" w:rsidRPr="0013064C" w:rsidRDefault="00311A0F" w:rsidP="008241F1">
            <w:pPr>
              <w:rPr>
                <w:rFonts w:ascii="Arial" w:hAnsi="Arial" w:cs="Arial"/>
              </w:rPr>
            </w:pPr>
            <w:hyperlink r:id="rId50" w:history="1">
              <w:r w:rsidR="00121207" w:rsidRPr="0013064C">
                <w:rPr>
                  <w:rStyle w:val="Hyperlink"/>
                  <w:rFonts w:cs="Arial"/>
                  <w:sz w:val="24"/>
                </w:rPr>
                <w:t>Interpretation of the results</w:t>
              </w:r>
            </w:hyperlink>
            <w:r w:rsidR="00121207" w:rsidRPr="0013064C">
              <w:rPr>
                <w:rFonts w:ascii="Arial" w:hAnsi="Arial" w:cs="Arial"/>
              </w:rPr>
              <w:t xml:space="preserve">, </w:t>
            </w:r>
            <w:proofErr w:type="gramStart"/>
            <w:r w:rsidR="00121207" w:rsidRPr="0013064C">
              <w:rPr>
                <w:rFonts w:ascii="Arial" w:hAnsi="Arial" w:cs="Arial"/>
              </w:rPr>
              <w:t>taking into account</w:t>
            </w:r>
            <w:proofErr w:type="gramEnd"/>
            <w:r w:rsidR="00121207" w:rsidRPr="0013064C">
              <w:rPr>
                <w:rFonts w:ascii="Arial" w:hAnsi="Arial" w:cs="Arial"/>
              </w:rPr>
              <w:t xml:space="preserve"> the </w:t>
            </w:r>
            <w:r w:rsidR="00121207" w:rsidRPr="0013064C">
              <w:rPr>
                <w:rFonts w:ascii="Arial" w:hAnsi="Arial" w:cs="Arial"/>
                <w:i/>
                <w:iCs/>
              </w:rPr>
              <w:t xml:space="preserve">non-inferiority or equivalence hypothesis and any other </w:t>
            </w:r>
            <w:r w:rsidR="00121207" w:rsidRPr="0013064C">
              <w:rPr>
                <w:rFonts w:ascii="Arial" w:hAnsi="Arial" w:cs="Arial"/>
              </w:rPr>
              <w:t>study hypotheses, sources of potential bias or imprecision and the dangers associated with multiplicity of analyses and outcomes.</w:t>
            </w:r>
          </w:p>
        </w:tc>
        <w:tc>
          <w:tcPr>
            <w:tcW w:w="1350" w:type="dxa"/>
          </w:tcPr>
          <w:p w14:paraId="5E57F8A3" w14:textId="77777777" w:rsidR="00121207" w:rsidRPr="0013064C" w:rsidRDefault="00121207" w:rsidP="008241F1">
            <w:pPr>
              <w:jc w:val="center"/>
              <w:rPr>
                <w:rFonts w:ascii="Arial" w:hAnsi="Arial" w:cs="Arial"/>
              </w:rPr>
            </w:pPr>
          </w:p>
        </w:tc>
      </w:tr>
      <w:tr w:rsidR="00121207" w:rsidRPr="0013064C" w14:paraId="7E32084C" w14:textId="77777777" w:rsidTr="008241F1">
        <w:tc>
          <w:tcPr>
            <w:tcW w:w="2214" w:type="dxa"/>
          </w:tcPr>
          <w:p w14:paraId="0E951F05" w14:textId="77777777" w:rsidR="00121207" w:rsidRPr="0013064C" w:rsidRDefault="00121207" w:rsidP="008241F1">
            <w:pPr>
              <w:jc w:val="center"/>
              <w:rPr>
                <w:rFonts w:ascii="Arial" w:hAnsi="Arial" w:cs="Arial"/>
              </w:rPr>
            </w:pPr>
            <w:r w:rsidRPr="0013064C">
              <w:rPr>
                <w:rFonts w:ascii="Arial" w:hAnsi="Arial" w:cs="Arial"/>
              </w:rPr>
              <w:t>Generalizability</w:t>
            </w:r>
          </w:p>
        </w:tc>
        <w:tc>
          <w:tcPr>
            <w:tcW w:w="758" w:type="dxa"/>
          </w:tcPr>
          <w:p w14:paraId="09D3AC68" w14:textId="77777777" w:rsidR="00121207" w:rsidRPr="0013064C" w:rsidRDefault="00121207" w:rsidP="008241F1">
            <w:pPr>
              <w:jc w:val="center"/>
              <w:rPr>
                <w:rFonts w:ascii="Arial" w:hAnsi="Arial" w:cs="Arial"/>
              </w:rPr>
            </w:pPr>
            <w:r w:rsidRPr="0013064C">
              <w:rPr>
                <w:rFonts w:ascii="Arial" w:hAnsi="Arial" w:cs="Arial"/>
              </w:rPr>
              <w:t>21</w:t>
            </w:r>
          </w:p>
        </w:tc>
        <w:tc>
          <w:tcPr>
            <w:tcW w:w="5956" w:type="dxa"/>
          </w:tcPr>
          <w:p w14:paraId="1889BDFE" w14:textId="77777777" w:rsidR="00121207" w:rsidRPr="0013064C" w:rsidRDefault="00311A0F" w:rsidP="008241F1">
            <w:pPr>
              <w:rPr>
                <w:rFonts w:ascii="Arial" w:hAnsi="Arial" w:cs="Arial"/>
              </w:rPr>
            </w:pPr>
            <w:hyperlink r:id="rId51" w:history="1">
              <w:r w:rsidR="00121207" w:rsidRPr="0013064C">
                <w:rPr>
                  <w:rStyle w:val="Hyperlink"/>
                  <w:rFonts w:cs="Arial"/>
                  <w:sz w:val="24"/>
                </w:rPr>
                <w:t>Generalizability (external validity) of the trial findings</w:t>
              </w:r>
            </w:hyperlink>
            <w:r w:rsidR="00121207" w:rsidRPr="0013064C">
              <w:rPr>
                <w:rFonts w:ascii="Arial" w:hAnsi="Arial" w:cs="Arial"/>
              </w:rPr>
              <w:t>.</w:t>
            </w:r>
          </w:p>
        </w:tc>
        <w:tc>
          <w:tcPr>
            <w:tcW w:w="1350" w:type="dxa"/>
          </w:tcPr>
          <w:p w14:paraId="774A7331" w14:textId="77777777" w:rsidR="00121207" w:rsidRPr="0013064C" w:rsidRDefault="00121207" w:rsidP="008241F1">
            <w:pPr>
              <w:jc w:val="center"/>
              <w:rPr>
                <w:rFonts w:ascii="Arial" w:hAnsi="Arial" w:cs="Arial"/>
              </w:rPr>
            </w:pPr>
          </w:p>
        </w:tc>
      </w:tr>
      <w:tr w:rsidR="00121207" w:rsidRPr="0013064C" w14:paraId="2678847C" w14:textId="77777777" w:rsidTr="008241F1">
        <w:tc>
          <w:tcPr>
            <w:tcW w:w="2214" w:type="dxa"/>
          </w:tcPr>
          <w:p w14:paraId="60754238" w14:textId="77777777" w:rsidR="00121207" w:rsidRPr="0013064C" w:rsidRDefault="00121207" w:rsidP="008241F1">
            <w:pPr>
              <w:jc w:val="center"/>
              <w:rPr>
                <w:rFonts w:ascii="Arial" w:hAnsi="Arial" w:cs="Arial"/>
              </w:rPr>
            </w:pPr>
            <w:r w:rsidRPr="0013064C">
              <w:rPr>
                <w:rFonts w:ascii="Arial" w:hAnsi="Arial" w:cs="Arial"/>
              </w:rPr>
              <w:t>Overall evidence</w:t>
            </w:r>
          </w:p>
        </w:tc>
        <w:tc>
          <w:tcPr>
            <w:tcW w:w="758" w:type="dxa"/>
          </w:tcPr>
          <w:p w14:paraId="0D7A4CDE" w14:textId="77777777" w:rsidR="00121207" w:rsidRPr="0013064C" w:rsidRDefault="00121207" w:rsidP="008241F1">
            <w:pPr>
              <w:jc w:val="center"/>
              <w:rPr>
                <w:rFonts w:ascii="Arial" w:hAnsi="Arial" w:cs="Arial"/>
              </w:rPr>
            </w:pPr>
            <w:r w:rsidRPr="0013064C">
              <w:rPr>
                <w:rFonts w:ascii="Arial" w:hAnsi="Arial" w:cs="Arial"/>
              </w:rPr>
              <w:t>22</w:t>
            </w:r>
          </w:p>
        </w:tc>
        <w:tc>
          <w:tcPr>
            <w:tcW w:w="5956" w:type="dxa"/>
          </w:tcPr>
          <w:p w14:paraId="27E3910E" w14:textId="77777777" w:rsidR="00121207" w:rsidRPr="0013064C" w:rsidRDefault="00311A0F" w:rsidP="008241F1">
            <w:pPr>
              <w:rPr>
                <w:rFonts w:ascii="Arial" w:hAnsi="Arial" w:cs="Arial"/>
              </w:rPr>
            </w:pPr>
            <w:hyperlink r:id="rId52" w:history="1">
              <w:r w:rsidR="00121207" w:rsidRPr="0013064C">
                <w:rPr>
                  <w:rStyle w:val="Hyperlink"/>
                  <w:rFonts w:cs="Arial"/>
                  <w:sz w:val="24"/>
                </w:rPr>
                <w:t>General interpretation of the results in the context of current evidence</w:t>
              </w:r>
            </w:hyperlink>
            <w:r w:rsidR="00121207" w:rsidRPr="0013064C">
              <w:rPr>
                <w:rFonts w:ascii="Arial" w:hAnsi="Arial" w:cs="Arial"/>
              </w:rPr>
              <w:t>.</w:t>
            </w:r>
          </w:p>
        </w:tc>
        <w:tc>
          <w:tcPr>
            <w:tcW w:w="1350" w:type="dxa"/>
          </w:tcPr>
          <w:p w14:paraId="60408699" w14:textId="77777777" w:rsidR="00121207" w:rsidRPr="0013064C" w:rsidRDefault="00121207" w:rsidP="008241F1">
            <w:pPr>
              <w:jc w:val="center"/>
              <w:rPr>
                <w:rFonts w:ascii="Arial" w:hAnsi="Arial" w:cs="Arial"/>
              </w:rPr>
            </w:pPr>
          </w:p>
        </w:tc>
      </w:tr>
    </w:tbl>
    <w:p w14:paraId="6E223408" w14:textId="11B13050" w:rsidR="00121207" w:rsidRPr="0013064C" w:rsidRDefault="00121207" w:rsidP="00683C51">
      <w:pPr>
        <w:rPr>
          <w:rFonts w:cs="Arial"/>
        </w:rPr>
      </w:pPr>
    </w:p>
    <w:sectPr w:rsidR="00121207" w:rsidRPr="0013064C" w:rsidSect="00827684">
      <w:footerReference w:type="default" r:id="rId53"/>
      <w:footerReference w:type="first" r:id="rId54"/>
      <w:pgSz w:w="11909" w:h="16834" w:code="9"/>
      <w:pgMar w:top="1440" w:right="1440" w:bottom="357" w:left="1440" w:header="720" w:footer="457" w:gutter="0"/>
      <w:pgNumType w:fmt="lowerRoman"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1632F" w14:textId="77777777" w:rsidR="00311A0F" w:rsidRDefault="00311A0F" w:rsidP="00A12E21">
      <w:r>
        <w:separator/>
      </w:r>
    </w:p>
  </w:endnote>
  <w:endnote w:type="continuationSeparator" w:id="0">
    <w:p w14:paraId="407DFC8B" w14:textId="77777777" w:rsidR="00311A0F" w:rsidRDefault="00311A0F" w:rsidP="00A12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LeituraSans-Grot 2">
    <w:altName w:val="Cambria"/>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030BC" w14:textId="77777777" w:rsidR="00311A0F" w:rsidRPr="00FF717E" w:rsidRDefault="00311A0F" w:rsidP="007D5CFE">
    <w:pPr>
      <w:pStyle w:val="Footer"/>
      <w:tabs>
        <w:tab w:val="left" w:pos="2268"/>
      </w:tabs>
      <w:ind w:left="-851" w:right="-569"/>
      <w:rPr>
        <w:b/>
      </w:rPr>
    </w:pPr>
    <w:r w:rsidRPr="00EE776E">
      <w:rPr>
        <w:b/>
        <w:noProof/>
        <w:lang w:eastAsia="en-GB"/>
      </w:rPr>
      <w:drawing>
        <wp:anchor distT="0" distB="0" distL="114300" distR="114300" simplePos="0" relativeHeight="251659776" behindDoc="0" locked="0" layoutInCell="1" allowOverlap="1" wp14:anchorId="432C0CB4" wp14:editId="29A919E4">
          <wp:simplePos x="0" y="0"/>
          <wp:positionH relativeFrom="column">
            <wp:posOffset>-534670</wp:posOffset>
          </wp:positionH>
          <wp:positionV relativeFrom="paragraph">
            <wp:posOffset>-252095</wp:posOffset>
          </wp:positionV>
          <wp:extent cx="752475" cy="225425"/>
          <wp:effectExtent l="0" t="0" r="9525" b="3175"/>
          <wp:wrapNone/>
          <wp:docPr id="22" name="Picture 22" descr="Investors in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225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EE776E">
      <w:rPr>
        <w:b/>
        <w:noProof/>
        <w:lang w:eastAsia="en-GB"/>
      </w:rPr>
      <w:drawing>
        <wp:anchor distT="0" distB="0" distL="114300" distR="114300" simplePos="0" relativeHeight="251658752" behindDoc="0" locked="0" layoutInCell="1" allowOverlap="1" wp14:anchorId="1A5904B3" wp14:editId="0095CD51">
          <wp:simplePos x="0" y="0"/>
          <wp:positionH relativeFrom="column">
            <wp:posOffset>-538480</wp:posOffset>
          </wp:positionH>
          <wp:positionV relativeFrom="paragraph">
            <wp:posOffset>-566420</wp:posOffset>
          </wp:positionV>
          <wp:extent cx="1509395" cy="233045"/>
          <wp:effectExtent l="0" t="0" r="0" b="0"/>
          <wp:wrapNone/>
          <wp:docPr id="23" name="Picture 23" descr="University of Y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9395" cy="233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551B9" w14:textId="77777777" w:rsidR="00311A0F" w:rsidRPr="00612C69" w:rsidRDefault="00311A0F">
    <w:pPr>
      <w:pBdr>
        <w:top w:val="single" w:sz="4" w:space="1" w:color="auto"/>
      </w:pBdr>
      <w:tabs>
        <w:tab w:val="right" w:pos="9000"/>
      </w:tabs>
      <w:ind w:right="26"/>
      <w:rPr>
        <w:rFonts w:cs="Arial"/>
      </w:rPr>
    </w:pPr>
  </w:p>
  <w:p w14:paraId="65CCE465" w14:textId="76E671AB" w:rsidR="00311A0F" w:rsidRPr="008241F1" w:rsidRDefault="00311A0F" w:rsidP="008241F1">
    <w:pPr>
      <w:tabs>
        <w:tab w:val="right" w:pos="9000"/>
      </w:tabs>
      <w:ind w:right="26"/>
      <w:jc w:val="center"/>
      <w:rPr>
        <w:rFonts w:ascii="Arial" w:hAnsi="Arial" w:cs="Arial"/>
      </w:rPr>
    </w:pPr>
    <w:r w:rsidRPr="008241F1">
      <w:rPr>
        <w:rFonts w:ascii="Arial" w:hAnsi="Arial" w:cs="Arial"/>
        <w:sz w:val="22"/>
      </w:rPr>
      <w:t>Appendix A</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7D0A3" w14:textId="77777777" w:rsidR="00311A0F" w:rsidRPr="00612C69" w:rsidRDefault="00311A0F" w:rsidP="00827684">
    <w:pPr>
      <w:pBdr>
        <w:top w:val="single" w:sz="4" w:space="1" w:color="auto"/>
      </w:pBdr>
      <w:tabs>
        <w:tab w:val="right" w:pos="9000"/>
      </w:tabs>
      <w:ind w:right="29"/>
      <w:rPr>
        <w:rFonts w:cs="Arial"/>
      </w:rPr>
    </w:pPr>
  </w:p>
  <w:p w14:paraId="541C0104" w14:textId="41C56139" w:rsidR="00311A0F" w:rsidRPr="003E7FF7" w:rsidRDefault="00311A0F" w:rsidP="008241F1">
    <w:pPr>
      <w:tabs>
        <w:tab w:val="right" w:pos="9000"/>
      </w:tabs>
      <w:ind w:right="29"/>
      <w:jc w:val="center"/>
      <w:rPr>
        <w:rFonts w:ascii="Arial" w:hAnsi="Arial" w:cs="Arial"/>
        <w:sz w:val="22"/>
      </w:rPr>
    </w:pPr>
    <w:r w:rsidRPr="003E7FF7">
      <w:rPr>
        <w:rFonts w:ascii="Arial" w:hAnsi="Arial" w:cs="Arial"/>
        <w:sz w:val="22"/>
      </w:rPr>
      <w:t>Appendix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320C1" w14:textId="77777777" w:rsidR="00311A0F" w:rsidRPr="003D0714" w:rsidRDefault="00311A0F" w:rsidP="003D0714">
    <w:pPr>
      <w:pStyle w:val="Footer"/>
      <w:rPr>
        <w:rFonts w:cs="Arial"/>
        <w:b/>
      </w:rPr>
    </w:pPr>
    <w:r w:rsidRPr="003D0714">
      <w:rPr>
        <w:rFonts w:cs="Arial"/>
        <w:b/>
      </w:rPr>
      <w:t xml:space="preserve">All reasonable precautions have been taken by YHEC to verify the information contained in this publication.  However, the published material is being distributed without warranty of any kind, either expressed or implied.  The responsibility for the interpretation and </w:t>
    </w:r>
    <w:proofErr w:type="gramStart"/>
    <w:r w:rsidRPr="003D0714">
      <w:rPr>
        <w:rFonts w:cs="Arial"/>
        <w:b/>
      </w:rPr>
      <w:t>use</w:t>
    </w:r>
    <w:proofErr w:type="gramEnd"/>
    <w:r w:rsidRPr="003D0714">
      <w:rPr>
        <w:rFonts w:cs="Arial"/>
        <w:b/>
      </w:rPr>
      <w:t xml:space="preserve"> of the material lies with the reader.  In no event shall YHEC be liable for damages arising from its use.</w:t>
    </w:r>
  </w:p>
  <w:p w14:paraId="5E7C6A12" w14:textId="77777777" w:rsidR="00311A0F" w:rsidRPr="003D0714" w:rsidRDefault="00311A0F" w:rsidP="003D0714">
    <w:pPr>
      <w:pStyle w:val="Footer"/>
      <w:jc w:val="center"/>
      <w:rPr>
        <w:rFonts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650317"/>
      <w:docPartObj>
        <w:docPartGallery w:val="Page Numbers (Bottom of Page)"/>
        <w:docPartUnique/>
      </w:docPartObj>
    </w:sdtPr>
    <w:sdtEndPr>
      <w:rPr>
        <w:noProof/>
      </w:rPr>
    </w:sdtEndPr>
    <w:sdtContent>
      <w:p w14:paraId="7D4E2321" w14:textId="23E11236" w:rsidR="00311A0F" w:rsidRDefault="00311A0F">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198D00DB" w14:textId="27D04E07" w:rsidR="00311A0F" w:rsidRPr="003E7FF7" w:rsidRDefault="00311A0F" w:rsidP="003E7FF7">
    <w:pPr>
      <w:tabs>
        <w:tab w:val="right" w:pos="14034"/>
      </w:tabs>
      <w:ind w:right="95"/>
      <w:jc w:val="center"/>
      <w:rPr>
        <w:rFonts w:ascii="Arial" w:hAnsi="Arial" w:cs="Arial"/>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152832"/>
      <w:docPartObj>
        <w:docPartGallery w:val="Page Numbers (Bottom of Page)"/>
        <w:docPartUnique/>
      </w:docPartObj>
    </w:sdtPr>
    <w:sdtEndPr>
      <w:rPr>
        <w:noProof/>
      </w:rPr>
    </w:sdtEndPr>
    <w:sdtContent>
      <w:p w14:paraId="454DE0B3" w14:textId="73B55122" w:rsidR="00311A0F" w:rsidRDefault="00311A0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0F4E484" w14:textId="76A57A33" w:rsidR="00311A0F" w:rsidRPr="003E7FF7" w:rsidRDefault="00311A0F">
    <w:pPr>
      <w:tabs>
        <w:tab w:val="right" w:pos="9000"/>
      </w:tabs>
      <w:ind w:right="26"/>
      <w:rPr>
        <w:rFonts w:ascii="Arial" w:hAnsi="Arial" w:cs="Arial"/>
        <w:sz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3EBA4" w14:textId="77777777" w:rsidR="00311A0F" w:rsidRDefault="00311A0F">
    <w:pPr>
      <w:tabs>
        <w:tab w:val="center" w:pos="4320"/>
        <w:tab w:val="right" w:pos="8640"/>
      </w:tabs>
    </w:pPr>
    <w:r>
      <w:fldChar w:fldCharType="begin"/>
    </w:r>
    <w:r>
      <w:rPr>
        <w:rFonts w:ascii="Tahoma" w:hAnsi="Tahoma" w:cs="Tahoma"/>
      </w:rPr>
      <w:instrText xml:space="preserve"> DOCPROPERTY "SectionName" \h </w:instrText>
    </w:r>
    <w:r>
      <w:fldChar w:fldCharType="separate"/>
    </w:r>
    <w:r>
      <w:rPr>
        <w:b/>
        <w:bCs/>
        <w:lang w:val="en-US"/>
      </w:rPr>
      <w:t>Error! Unknown document property name.</w:t>
    </w:r>
    <w:r>
      <w:fldChar w:fldCharType="end"/>
    </w:r>
    <w:r>
      <w:tab/>
    </w:r>
    <w:r>
      <w:tab/>
    </w:r>
    <w:r>
      <w:fldChar w:fldCharType="begin"/>
    </w:r>
    <w:r>
      <w:rPr>
        <w:rFonts w:ascii="Tahoma" w:hAnsi="Tahoma" w:cs="Tahoma"/>
      </w:rPr>
      <w:instrText xml:space="preserve"> PAGE </w:instrText>
    </w:r>
    <w:r>
      <w:fldChar w:fldCharType="separate"/>
    </w:r>
    <w:r>
      <w:rPr>
        <w:rFonts w:ascii="Tahoma" w:hAnsi="Tahoma" w:cs="Tahoma"/>
        <w:noProof/>
      </w:rP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FBE9" w14:textId="77777777" w:rsidR="00311A0F" w:rsidRDefault="00311A0F">
    <w:pPr>
      <w:tabs>
        <w:tab w:val="center" w:pos="4320"/>
        <w:tab w:val="right" w:pos="8640"/>
      </w:tabs>
    </w:pPr>
    <w:r>
      <w:fldChar w:fldCharType="begin"/>
    </w:r>
    <w:r>
      <w:rPr>
        <w:rFonts w:ascii="Tahoma" w:hAnsi="Tahoma" w:cs="Tahoma"/>
      </w:rPr>
      <w:instrText xml:space="preserve"> DOCPROPERTY "SectionName" \h </w:instrText>
    </w:r>
    <w:r>
      <w:fldChar w:fldCharType="separate"/>
    </w:r>
    <w:r>
      <w:rPr>
        <w:b/>
        <w:bCs/>
        <w:lang w:val="en-US"/>
      </w:rPr>
      <w:t>Error! Unknown document property name.</w:t>
    </w:r>
    <w:r>
      <w:fldChar w:fldCharType="end"/>
    </w:r>
    <w:r>
      <w:tab/>
    </w:r>
    <w:r>
      <w:tab/>
    </w:r>
    <w:r>
      <w:fldChar w:fldCharType="begin"/>
    </w:r>
    <w:r>
      <w:rPr>
        <w:rFonts w:ascii="Tahoma" w:hAnsi="Tahoma" w:cs="Tahoma"/>
      </w:rPr>
      <w:instrText xml:space="preserve"> PAGE </w:instrText>
    </w:r>
    <w:r>
      <w:fldChar w:fldCharType="separate"/>
    </w:r>
    <w:r>
      <w:rPr>
        <w:rFonts w:ascii="Tahoma" w:hAnsi="Tahoma" w:cs="Tahoma"/>
        <w:noProof/>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2974702"/>
      <w:docPartObj>
        <w:docPartGallery w:val="Page Numbers (Bottom of Page)"/>
        <w:docPartUnique/>
      </w:docPartObj>
    </w:sdtPr>
    <w:sdtEndPr>
      <w:rPr>
        <w:noProof/>
      </w:rPr>
    </w:sdtEndPr>
    <w:sdtContent>
      <w:p w14:paraId="04596F5F" w14:textId="01D4358B" w:rsidR="00311A0F" w:rsidRDefault="00311A0F">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27605CB8" w14:textId="4AA057E9" w:rsidR="00311A0F" w:rsidRPr="003E7FF7" w:rsidRDefault="00311A0F" w:rsidP="00C3045A">
    <w:pPr>
      <w:tabs>
        <w:tab w:val="right" w:pos="14034"/>
      </w:tabs>
      <w:ind w:right="26"/>
      <w:rPr>
        <w:rFonts w:ascii="Arial" w:hAnsi="Arial" w:cs="Arial"/>
        <w:sz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EF6F6" w14:textId="77777777" w:rsidR="00311A0F" w:rsidRPr="00612C69" w:rsidRDefault="00311A0F">
    <w:pPr>
      <w:pBdr>
        <w:top w:val="single" w:sz="4" w:space="1" w:color="auto"/>
      </w:pBdr>
      <w:tabs>
        <w:tab w:val="right" w:pos="9000"/>
      </w:tabs>
      <w:ind w:right="26"/>
      <w:rPr>
        <w:rFonts w:cs="Arial"/>
      </w:rPr>
    </w:pPr>
  </w:p>
  <w:p w14:paraId="52E51248" w14:textId="77777777" w:rsidR="00311A0F" w:rsidRPr="00612C69" w:rsidRDefault="00311A0F">
    <w:pPr>
      <w:tabs>
        <w:tab w:val="right" w:pos="9000"/>
      </w:tabs>
      <w:ind w:right="26"/>
      <w:rPr>
        <w:rFonts w:cs="Arial"/>
      </w:rPr>
    </w:pPr>
    <w:r>
      <w:rPr>
        <w:rFonts w:cs="Arial"/>
      </w:rPr>
      <w:t>References</w:t>
    </w:r>
    <w:r w:rsidRPr="00612C69">
      <w:rPr>
        <w:rFonts w:cs="Arial"/>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B32C1" w14:textId="77777777" w:rsidR="00311A0F" w:rsidRPr="00612C69" w:rsidRDefault="00311A0F" w:rsidP="00827684">
    <w:pPr>
      <w:pBdr>
        <w:top w:val="single" w:sz="4" w:space="1" w:color="auto"/>
      </w:pBdr>
      <w:tabs>
        <w:tab w:val="right" w:pos="9000"/>
      </w:tabs>
      <w:ind w:right="29"/>
      <w:rPr>
        <w:rFonts w:cs="Arial"/>
      </w:rPr>
    </w:pPr>
  </w:p>
  <w:p w14:paraId="6346D5BA" w14:textId="0DD314B6" w:rsidR="00311A0F" w:rsidRPr="003E7FF7" w:rsidRDefault="00311A0F" w:rsidP="008241F1">
    <w:pPr>
      <w:tabs>
        <w:tab w:val="right" w:pos="9000"/>
      </w:tabs>
      <w:ind w:right="29"/>
      <w:jc w:val="center"/>
      <w:rPr>
        <w:rFonts w:ascii="Arial" w:hAnsi="Arial" w:cs="Arial"/>
        <w:sz w:val="22"/>
      </w:rPr>
    </w:pPr>
    <w:r w:rsidRPr="003E7FF7">
      <w:rPr>
        <w:rFonts w:ascii="Arial" w:hAnsi="Arial" w:cs="Arial"/>
        <w:sz w:val="22"/>
      </w:rPr>
      <w:t>References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55AA3" w14:textId="77777777" w:rsidR="00311A0F" w:rsidRDefault="00311A0F" w:rsidP="00A12E21">
      <w:r>
        <w:separator/>
      </w:r>
    </w:p>
  </w:footnote>
  <w:footnote w:type="continuationSeparator" w:id="0">
    <w:p w14:paraId="2D645B22" w14:textId="77777777" w:rsidR="00311A0F" w:rsidRDefault="00311A0F" w:rsidP="00A12E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7D16E" w14:textId="77777777" w:rsidR="00311A0F" w:rsidRDefault="00311A0F">
    <w:pPr>
      <w:pStyle w:val="Header"/>
    </w:pPr>
    <w:r>
      <w:rPr>
        <w:noProof/>
        <w:lang w:val="en-US"/>
      </w:rPr>
      <w:pict w14:anchorId="3A54B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13627_A4 project template v2 FRONT" style="position:absolute;left:0;text-align:left;margin-left:0;margin-top:0;width:594.7pt;height:841.05pt;z-index:-251655680;mso-wrap-edited:f;mso-width-percent:0;mso-height-percent:0;mso-position-horizontal:center;mso-position-horizontal-relative:margin;mso-position-vertical:center;mso-position-vertical-relative:margin;mso-width-percent:0;mso-height-percent:0" wrapcoords="435 346 435 21214 21136 21214 21136 19827 21027 19808 18004 19730 14054 19461 13891 19422 11903 19152 10405 18844 9261 18536 7572 17919 6373 17303 5447 16686 4712 16069 3649 14836 2914 13603 2642 12986 2206 11753 1824 10212 1716 9595 1498 7745 1389 6512 1252 2813 6019 2793 14218 2620 14218 2504 14354 2196 14300 1734 14191 1695 13537 1580 13401 1541 11984 1271 12066 1098 11412 1098 1225 963 1225 346 435 346">
          <v:imagedata r:id="rId1" o:title="13627_A4 project template v2 FRO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CC34F" w14:textId="22D68ECC" w:rsidR="00311A0F" w:rsidRDefault="00311A0F" w:rsidP="007D5CFE">
    <w:pPr>
      <w:pStyle w:val="Header"/>
    </w:pPr>
    <w:r>
      <w:rPr>
        <w:noProof/>
        <w:lang w:eastAsia="en-GB"/>
      </w:rPr>
      <mc:AlternateContent>
        <mc:Choice Requires="wps">
          <w:drawing>
            <wp:anchor distT="0" distB="0" distL="114300" distR="114300" simplePos="0" relativeHeight="251657728" behindDoc="0" locked="0" layoutInCell="1" allowOverlap="1" wp14:anchorId="3C592FB9" wp14:editId="1C30DF69">
              <wp:simplePos x="0" y="0"/>
              <wp:positionH relativeFrom="page">
                <wp:posOffset>3524885</wp:posOffset>
              </wp:positionH>
              <wp:positionV relativeFrom="page">
                <wp:posOffset>574040</wp:posOffset>
              </wp:positionV>
              <wp:extent cx="3797300" cy="482600"/>
              <wp:effectExtent l="0" t="0" r="12700" b="12700"/>
              <wp:wrapNone/>
              <wp:docPr id="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73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14:paraId="206B1540" w14:textId="77777777" w:rsidR="00311A0F" w:rsidRPr="00120B7C" w:rsidRDefault="00311A0F" w:rsidP="007D5CFE">
                          <w:pPr>
                            <w:pStyle w:val="FreeForm"/>
                            <w:tabs>
                              <w:tab w:val="left" w:pos="423"/>
                            </w:tabs>
                            <w:spacing w:line="288" w:lineRule="auto"/>
                            <w:rPr>
                              <w:rFonts w:ascii="Arial" w:hAnsi="Arial" w:cs="Arial"/>
                              <w:color w:val="auto"/>
                              <w:sz w:val="20"/>
                            </w:rPr>
                          </w:pPr>
                          <w:r w:rsidRPr="00120B7C">
                            <w:rPr>
                              <w:rFonts w:ascii="Arial" w:hAnsi="Arial" w:cs="Arial"/>
                              <w:color w:val="auto"/>
                              <w:sz w:val="20"/>
                            </w:rPr>
                            <w:t>Providing consultancy and research in health economics for the NHS, pharmaceutical and health care industries since 1986</w:t>
                          </w:r>
                        </w:p>
                        <w:p w14:paraId="471B0A12" w14:textId="77777777" w:rsidR="00311A0F" w:rsidRDefault="00311A0F" w:rsidP="007D5CFE">
                          <w:pPr>
                            <w:spacing w:line="312" w:lineRule="auto"/>
                            <w:rPr>
                              <w:sz w:val="20"/>
                              <w:lang w:eastAsia="en-GB"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92FB9" id="Rectangle 27" o:spid="_x0000_s1029" style="position:absolute;left:0;text-align:left;margin-left:277.55pt;margin-top:45.2pt;width:299pt;height:38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" filled="f" stroked="f" strokeweight="1pt">
              <v:path arrowok="t"/>
              <v:textbox inset="0,0,0,0">
                <w:txbxContent>
                  <w:p w14:paraId="206B1540" w14:textId="77777777" w:rsidR="00311A0F" w:rsidRPr="00120B7C" w:rsidRDefault="00311A0F" w:rsidP="007D5CFE">
                    <w:pPr>
                      <w:pStyle w:val="FreeForm"/>
                      <w:tabs>
                        <w:tab w:val="left" w:pos="423"/>
                      </w:tabs>
                      <w:spacing w:line="288" w:lineRule="auto"/>
                      <w:rPr>
                        <w:rFonts w:ascii="Arial" w:hAnsi="Arial" w:cs="Arial"/>
                        <w:color w:val="auto"/>
                        <w:sz w:val="20"/>
                      </w:rPr>
                    </w:pPr>
                    <w:r w:rsidRPr="00120B7C">
                      <w:rPr>
                        <w:rFonts w:ascii="Arial" w:hAnsi="Arial" w:cs="Arial"/>
                        <w:color w:val="auto"/>
                        <w:sz w:val="20"/>
                      </w:rPr>
                      <w:t>Providing consultancy and research in health economics for the NHS, pharmaceutical and health care industries since 1986</w:t>
                    </w:r>
                  </w:p>
                  <w:p w14:paraId="471B0A12" w14:textId="77777777" w:rsidR="00311A0F" w:rsidRDefault="00311A0F" w:rsidP="007D5CFE">
                    <w:pPr>
                      <w:spacing w:line="312" w:lineRule="auto"/>
                      <w:rPr>
                        <w:sz w:val="20"/>
                        <w:lang w:eastAsia="en-GB" w:bidi="x-none"/>
                      </w:rPr>
                    </w:pPr>
                  </w:p>
                </w:txbxContent>
              </v:textbox>
              <w10:wrap anchorx="page" anchory="page"/>
            </v:rect>
          </w:pict>
        </mc:Fallback>
      </mc:AlternateContent>
    </w:r>
    <w:r>
      <w:rPr>
        <w:rFonts w:cs="Arial"/>
        <w:noProof/>
        <w:szCs w:val="22"/>
        <w:lang w:eastAsia="en-GB"/>
      </w:rPr>
      <w:drawing>
        <wp:inline distT="0" distB="0" distL="0" distR="0" wp14:anchorId="49260E3B" wp14:editId="31390D67">
          <wp:extent cx="2193192" cy="880947"/>
          <wp:effectExtent l="0" t="0" r="0" b="0"/>
          <wp:docPr id="21" name="Picture 21" descr="York Health Economics Consorti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eneral\marketing\The Factory (Rebrand) 2012\Logos\CMYK\YHEC Logo 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4590" cy="8855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5C56" w14:textId="77777777" w:rsidR="00311A0F" w:rsidRDefault="00311A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0F860" w14:textId="77777777" w:rsidR="00311A0F" w:rsidRDefault="00311A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DB3B3" w14:textId="77777777" w:rsidR="00311A0F" w:rsidRDefault="00311A0F">
    <w:pPr>
      <w:tabs>
        <w:tab w:val="center" w:pos="4320"/>
        <w:tab w:val="right" w:pos="8640"/>
      </w:tabs>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0DE0A" w14:textId="77777777" w:rsidR="00311A0F" w:rsidRDefault="00311A0F">
    <w:pPr>
      <w:tabs>
        <w:tab w:val="center" w:pos="4320"/>
        <w:tab w:val="right" w:pos="864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A61F4" w14:textId="77777777" w:rsidR="00311A0F" w:rsidRDefault="00311A0F">
    <w:pPr>
      <w:tabs>
        <w:tab w:val="center" w:pos="4320"/>
        <w:tab w:val="right" w:pos="864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4906"/>
    <w:multiLevelType w:val="hybridMultilevel"/>
    <w:tmpl w:val="B5EED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9361B5"/>
    <w:multiLevelType w:val="hybridMultilevel"/>
    <w:tmpl w:val="48FA1208"/>
    <w:lvl w:ilvl="0" w:tplc="FB86F184">
      <w:start w:val="1"/>
      <w:numFmt w:val="decimal"/>
      <w:pStyle w:val="List"/>
      <w:lvlText w:val="%1."/>
      <w:lvlJc w:val="left"/>
      <w:pPr>
        <w:ind w:left="720" w:hanging="360"/>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D36FC4"/>
    <w:multiLevelType w:val="hybridMultilevel"/>
    <w:tmpl w:val="24E6F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101361"/>
    <w:multiLevelType w:val="hybridMultilevel"/>
    <w:tmpl w:val="61F2E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CF2F04"/>
    <w:multiLevelType w:val="hybridMultilevel"/>
    <w:tmpl w:val="B06A8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E17F91"/>
    <w:multiLevelType w:val="hybridMultilevel"/>
    <w:tmpl w:val="2B68AAE6"/>
    <w:lvl w:ilvl="0" w:tplc="08090001">
      <w:start w:val="1"/>
      <w:numFmt w:val="bullet"/>
      <w:lvlText w:val=""/>
      <w:lvlJc w:val="left"/>
      <w:pPr>
        <w:ind w:left="1080" w:hanging="720"/>
      </w:pPr>
      <w:rPr>
        <w:rFonts w:ascii="Symbol" w:hAnsi="Symbol" w:hint="default"/>
      </w:rPr>
    </w:lvl>
    <w:lvl w:ilvl="1" w:tplc="D65AD07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C743AC"/>
    <w:multiLevelType w:val="hybridMultilevel"/>
    <w:tmpl w:val="766EE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A679BF"/>
    <w:multiLevelType w:val="multilevel"/>
    <w:tmpl w:val="C90687C6"/>
    <w:lvl w:ilvl="0">
      <w:start w:val="1"/>
      <w:numFmt w:val="decimal"/>
      <w:pStyle w:val="Heading1"/>
      <w:lvlText w:val="Section %1:"/>
      <w:lvlJc w:val="left"/>
      <w:pPr>
        <w:tabs>
          <w:tab w:val="num" w:pos="2160"/>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080"/>
        </w:tabs>
        <w:ind w:left="851" w:hanging="851"/>
      </w:pPr>
      <w:rPr>
        <w:rFonts w:hint="default"/>
      </w:rPr>
    </w:lvl>
    <w:lvl w:ilvl="5">
      <w:start w:val="1"/>
      <w:numFmt w:val="decimal"/>
      <w:pStyle w:val="Heading6"/>
      <w:lvlText w:val="%1.%2.%3.%4.%5.%6"/>
      <w:lvlJc w:val="left"/>
      <w:pPr>
        <w:tabs>
          <w:tab w:val="num" w:pos="1440"/>
        </w:tabs>
        <w:ind w:left="851" w:hanging="851"/>
      </w:pPr>
      <w:rPr>
        <w:rFonts w:hint="default"/>
      </w:rPr>
    </w:lvl>
    <w:lvl w:ilvl="6">
      <w:start w:val="1"/>
      <w:numFmt w:val="decimal"/>
      <w:pStyle w:val="Heading7"/>
      <w:lvlText w:val="%1.%2.%3.%4.%5.%6.%7"/>
      <w:lvlJc w:val="left"/>
      <w:pPr>
        <w:tabs>
          <w:tab w:val="num" w:pos="1440"/>
        </w:tabs>
        <w:ind w:left="851" w:hanging="851"/>
      </w:pPr>
      <w:rPr>
        <w:rFonts w:hint="default"/>
      </w:rPr>
    </w:lvl>
    <w:lvl w:ilvl="7">
      <w:start w:val="1"/>
      <w:numFmt w:val="decimal"/>
      <w:pStyle w:val="Heading8"/>
      <w:lvlText w:val="%1.%2.%3.%4.%5.%6.%7.%8"/>
      <w:lvlJc w:val="left"/>
      <w:pPr>
        <w:tabs>
          <w:tab w:val="num" w:pos="1800"/>
        </w:tabs>
        <w:ind w:left="851" w:hanging="851"/>
      </w:pPr>
      <w:rPr>
        <w:rFonts w:hint="default"/>
      </w:rPr>
    </w:lvl>
    <w:lvl w:ilvl="8">
      <w:start w:val="1"/>
      <w:numFmt w:val="decimal"/>
      <w:pStyle w:val="Heading9"/>
      <w:lvlText w:val="%1.%2.%3.%4.%5.%6.%7.%8.%9"/>
      <w:lvlJc w:val="left"/>
      <w:pPr>
        <w:tabs>
          <w:tab w:val="num" w:pos="1800"/>
        </w:tabs>
        <w:ind w:left="851" w:hanging="851"/>
      </w:pPr>
      <w:rPr>
        <w:rFonts w:hint="default"/>
      </w:rPr>
    </w:lvl>
  </w:abstractNum>
  <w:abstractNum w:abstractNumId="8" w15:restartNumberingAfterBreak="0">
    <w:nsid w:val="70A12D5D"/>
    <w:multiLevelType w:val="hybridMultilevel"/>
    <w:tmpl w:val="043E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457837"/>
    <w:multiLevelType w:val="hybridMultilevel"/>
    <w:tmpl w:val="74E84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337188"/>
    <w:multiLevelType w:val="hybridMultilevel"/>
    <w:tmpl w:val="1BFCE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5"/>
  </w:num>
  <w:num w:numId="4">
    <w:abstractNumId w:val="6"/>
  </w:num>
  <w:num w:numId="5">
    <w:abstractNumId w:val="10"/>
  </w:num>
  <w:num w:numId="6">
    <w:abstractNumId w:val="2"/>
  </w:num>
  <w:num w:numId="7">
    <w:abstractNumId w:val="9"/>
  </w:num>
  <w:num w:numId="8">
    <w:abstractNumId w:val="3"/>
  </w:num>
  <w:num w:numId="9">
    <w:abstractNumId w:val="0"/>
  </w:num>
  <w:num w:numId="10">
    <w:abstractNumId w:val="4"/>
  </w:num>
  <w:num w:numId="1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20"/>
  <w:drawingGridVerticalSpacing w:val="181"/>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C48"/>
    <w:rsid w:val="00002076"/>
    <w:rsid w:val="00016EB8"/>
    <w:rsid w:val="0002202C"/>
    <w:rsid w:val="00025DCB"/>
    <w:rsid w:val="000274E1"/>
    <w:rsid w:val="00032F2D"/>
    <w:rsid w:val="00052C48"/>
    <w:rsid w:val="000574F9"/>
    <w:rsid w:val="00061958"/>
    <w:rsid w:val="000622A4"/>
    <w:rsid w:val="0007215B"/>
    <w:rsid w:val="0007745A"/>
    <w:rsid w:val="00081137"/>
    <w:rsid w:val="00083A23"/>
    <w:rsid w:val="000845AD"/>
    <w:rsid w:val="000845F3"/>
    <w:rsid w:val="0008516E"/>
    <w:rsid w:val="00092E34"/>
    <w:rsid w:val="000B33EA"/>
    <w:rsid w:val="000B50F7"/>
    <w:rsid w:val="000C111D"/>
    <w:rsid w:val="000C3999"/>
    <w:rsid w:val="000C6932"/>
    <w:rsid w:val="000D19E6"/>
    <w:rsid w:val="000D502A"/>
    <w:rsid w:val="000F1905"/>
    <w:rsid w:val="00102928"/>
    <w:rsid w:val="00105B09"/>
    <w:rsid w:val="00106D4C"/>
    <w:rsid w:val="00111BE9"/>
    <w:rsid w:val="001143FA"/>
    <w:rsid w:val="00115565"/>
    <w:rsid w:val="00121207"/>
    <w:rsid w:val="00124459"/>
    <w:rsid w:val="001248D7"/>
    <w:rsid w:val="00125DB5"/>
    <w:rsid w:val="0013045C"/>
    <w:rsid w:val="0013064C"/>
    <w:rsid w:val="0013460C"/>
    <w:rsid w:val="00137EA2"/>
    <w:rsid w:val="001448B8"/>
    <w:rsid w:val="0015047B"/>
    <w:rsid w:val="001518E2"/>
    <w:rsid w:val="00153A4A"/>
    <w:rsid w:val="00155F06"/>
    <w:rsid w:val="00175A3C"/>
    <w:rsid w:val="00177035"/>
    <w:rsid w:val="0018156D"/>
    <w:rsid w:val="00183A61"/>
    <w:rsid w:val="00187672"/>
    <w:rsid w:val="001A776B"/>
    <w:rsid w:val="001B26C3"/>
    <w:rsid w:val="001B5BDF"/>
    <w:rsid w:val="001B6832"/>
    <w:rsid w:val="001C1766"/>
    <w:rsid w:val="001C5C19"/>
    <w:rsid w:val="001C714D"/>
    <w:rsid w:val="001D32BA"/>
    <w:rsid w:val="001E0E9B"/>
    <w:rsid w:val="001E3F84"/>
    <w:rsid w:val="001E7A25"/>
    <w:rsid w:val="001F0651"/>
    <w:rsid w:val="001F1DD0"/>
    <w:rsid w:val="001F7847"/>
    <w:rsid w:val="002052C0"/>
    <w:rsid w:val="00212228"/>
    <w:rsid w:val="00221442"/>
    <w:rsid w:val="00224077"/>
    <w:rsid w:val="00232F91"/>
    <w:rsid w:val="002531EE"/>
    <w:rsid w:val="00255481"/>
    <w:rsid w:val="00262D8E"/>
    <w:rsid w:val="00263091"/>
    <w:rsid w:val="0026420A"/>
    <w:rsid w:val="002644C1"/>
    <w:rsid w:val="00264A0E"/>
    <w:rsid w:val="002655C0"/>
    <w:rsid w:val="002656DB"/>
    <w:rsid w:val="002660AC"/>
    <w:rsid w:val="002740AF"/>
    <w:rsid w:val="00284BD6"/>
    <w:rsid w:val="0028621B"/>
    <w:rsid w:val="0029222A"/>
    <w:rsid w:val="002946C3"/>
    <w:rsid w:val="00296A75"/>
    <w:rsid w:val="002B5F87"/>
    <w:rsid w:val="002C0302"/>
    <w:rsid w:val="002C1457"/>
    <w:rsid w:val="002C3D04"/>
    <w:rsid w:val="002C70D2"/>
    <w:rsid w:val="002D0242"/>
    <w:rsid w:val="002D1087"/>
    <w:rsid w:val="002D6339"/>
    <w:rsid w:val="002E48A4"/>
    <w:rsid w:val="002F039E"/>
    <w:rsid w:val="002F1A7F"/>
    <w:rsid w:val="002F3CDC"/>
    <w:rsid w:val="002F4ABF"/>
    <w:rsid w:val="002F7636"/>
    <w:rsid w:val="00304C9B"/>
    <w:rsid w:val="00307F95"/>
    <w:rsid w:val="00311A0F"/>
    <w:rsid w:val="00322950"/>
    <w:rsid w:val="00323687"/>
    <w:rsid w:val="0032609E"/>
    <w:rsid w:val="00327634"/>
    <w:rsid w:val="00335E25"/>
    <w:rsid w:val="0033785B"/>
    <w:rsid w:val="00340597"/>
    <w:rsid w:val="003542D6"/>
    <w:rsid w:val="003565F8"/>
    <w:rsid w:val="00366A10"/>
    <w:rsid w:val="003851C1"/>
    <w:rsid w:val="00386A6A"/>
    <w:rsid w:val="0039717C"/>
    <w:rsid w:val="003A6CDB"/>
    <w:rsid w:val="003C7F84"/>
    <w:rsid w:val="003D0714"/>
    <w:rsid w:val="003D3199"/>
    <w:rsid w:val="003E5A99"/>
    <w:rsid w:val="003E7FF7"/>
    <w:rsid w:val="003F1731"/>
    <w:rsid w:val="003F3234"/>
    <w:rsid w:val="003F7C5E"/>
    <w:rsid w:val="00406763"/>
    <w:rsid w:val="00413F8B"/>
    <w:rsid w:val="00415914"/>
    <w:rsid w:val="0042503D"/>
    <w:rsid w:val="00452937"/>
    <w:rsid w:val="00454AF6"/>
    <w:rsid w:val="0045573E"/>
    <w:rsid w:val="00455975"/>
    <w:rsid w:val="00466D03"/>
    <w:rsid w:val="00467DD3"/>
    <w:rsid w:val="00473AB1"/>
    <w:rsid w:val="0047670E"/>
    <w:rsid w:val="004839CE"/>
    <w:rsid w:val="00486065"/>
    <w:rsid w:val="0049297C"/>
    <w:rsid w:val="004A204D"/>
    <w:rsid w:val="004A57D6"/>
    <w:rsid w:val="004A5B92"/>
    <w:rsid w:val="004B241E"/>
    <w:rsid w:val="004B2AB6"/>
    <w:rsid w:val="004B45B2"/>
    <w:rsid w:val="004C57CB"/>
    <w:rsid w:val="004D4278"/>
    <w:rsid w:val="005073D8"/>
    <w:rsid w:val="00511574"/>
    <w:rsid w:val="00512D11"/>
    <w:rsid w:val="00513A8B"/>
    <w:rsid w:val="005162F6"/>
    <w:rsid w:val="0054366E"/>
    <w:rsid w:val="005453E7"/>
    <w:rsid w:val="00561B81"/>
    <w:rsid w:val="005645E2"/>
    <w:rsid w:val="00565C62"/>
    <w:rsid w:val="005665AF"/>
    <w:rsid w:val="00567DC8"/>
    <w:rsid w:val="0057104F"/>
    <w:rsid w:val="005778D0"/>
    <w:rsid w:val="00581E59"/>
    <w:rsid w:val="00582FC1"/>
    <w:rsid w:val="00591E93"/>
    <w:rsid w:val="00595921"/>
    <w:rsid w:val="005B5B83"/>
    <w:rsid w:val="005D46ED"/>
    <w:rsid w:val="005E2DAB"/>
    <w:rsid w:val="005E4720"/>
    <w:rsid w:val="005E4A60"/>
    <w:rsid w:val="005E5B48"/>
    <w:rsid w:val="005F5975"/>
    <w:rsid w:val="005F7C88"/>
    <w:rsid w:val="00601CA9"/>
    <w:rsid w:val="00605238"/>
    <w:rsid w:val="0060785F"/>
    <w:rsid w:val="00612C69"/>
    <w:rsid w:val="006409A5"/>
    <w:rsid w:val="00647060"/>
    <w:rsid w:val="00652F5A"/>
    <w:rsid w:val="00665D14"/>
    <w:rsid w:val="00667205"/>
    <w:rsid w:val="006674C2"/>
    <w:rsid w:val="00667589"/>
    <w:rsid w:val="00673734"/>
    <w:rsid w:val="00675811"/>
    <w:rsid w:val="00675F54"/>
    <w:rsid w:val="00680561"/>
    <w:rsid w:val="00680F3D"/>
    <w:rsid w:val="006823E2"/>
    <w:rsid w:val="00683C51"/>
    <w:rsid w:val="00685C40"/>
    <w:rsid w:val="00696F6D"/>
    <w:rsid w:val="00697D7D"/>
    <w:rsid w:val="00697E84"/>
    <w:rsid w:val="006A4EE9"/>
    <w:rsid w:val="006A54CD"/>
    <w:rsid w:val="006B1C3E"/>
    <w:rsid w:val="006B2A9A"/>
    <w:rsid w:val="006C3EFD"/>
    <w:rsid w:val="006D2854"/>
    <w:rsid w:val="006D3DF5"/>
    <w:rsid w:val="006D46CC"/>
    <w:rsid w:val="006E1147"/>
    <w:rsid w:val="006E3B8E"/>
    <w:rsid w:val="006E48A5"/>
    <w:rsid w:val="006E6218"/>
    <w:rsid w:val="006F1777"/>
    <w:rsid w:val="00700C23"/>
    <w:rsid w:val="00712F98"/>
    <w:rsid w:val="00717C37"/>
    <w:rsid w:val="00723313"/>
    <w:rsid w:val="00724BAA"/>
    <w:rsid w:val="00734C83"/>
    <w:rsid w:val="007419E4"/>
    <w:rsid w:val="007445F2"/>
    <w:rsid w:val="00745D98"/>
    <w:rsid w:val="007529D3"/>
    <w:rsid w:val="00753A50"/>
    <w:rsid w:val="00757125"/>
    <w:rsid w:val="00762988"/>
    <w:rsid w:val="00764E38"/>
    <w:rsid w:val="00772DA1"/>
    <w:rsid w:val="007773E5"/>
    <w:rsid w:val="00782BCC"/>
    <w:rsid w:val="00791490"/>
    <w:rsid w:val="007A08E8"/>
    <w:rsid w:val="007A7D25"/>
    <w:rsid w:val="007B03E9"/>
    <w:rsid w:val="007B2878"/>
    <w:rsid w:val="007B6A22"/>
    <w:rsid w:val="007C4C34"/>
    <w:rsid w:val="007D5CFE"/>
    <w:rsid w:val="007D7A86"/>
    <w:rsid w:val="007E087C"/>
    <w:rsid w:val="007E254F"/>
    <w:rsid w:val="007E2E8D"/>
    <w:rsid w:val="007E6D85"/>
    <w:rsid w:val="007F5D0E"/>
    <w:rsid w:val="007F6014"/>
    <w:rsid w:val="007F7290"/>
    <w:rsid w:val="008075AB"/>
    <w:rsid w:val="00807755"/>
    <w:rsid w:val="00816849"/>
    <w:rsid w:val="008241F1"/>
    <w:rsid w:val="00826A8D"/>
    <w:rsid w:val="00827684"/>
    <w:rsid w:val="00836F0F"/>
    <w:rsid w:val="0084054E"/>
    <w:rsid w:val="00842B5E"/>
    <w:rsid w:val="008432B3"/>
    <w:rsid w:val="00847D27"/>
    <w:rsid w:val="00850A80"/>
    <w:rsid w:val="00854692"/>
    <w:rsid w:val="00856549"/>
    <w:rsid w:val="00896AA7"/>
    <w:rsid w:val="008A0C56"/>
    <w:rsid w:val="008B2CB8"/>
    <w:rsid w:val="008C03EF"/>
    <w:rsid w:val="008C2CAD"/>
    <w:rsid w:val="008C3EB3"/>
    <w:rsid w:val="008C5502"/>
    <w:rsid w:val="008C551B"/>
    <w:rsid w:val="008D0156"/>
    <w:rsid w:val="008D0A4A"/>
    <w:rsid w:val="008D1961"/>
    <w:rsid w:val="008D1BE2"/>
    <w:rsid w:val="008D74F5"/>
    <w:rsid w:val="008E1DDB"/>
    <w:rsid w:val="008E60D7"/>
    <w:rsid w:val="008F23AD"/>
    <w:rsid w:val="008F5E9B"/>
    <w:rsid w:val="00903D11"/>
    <w:rsid w:val="00913755"/>
    <w:rsid w:val="00917089"/>
    <w:rsid w:val="009173DA"/>
    <w:rsid w:val="00934F12"/>
    <w:rsid w:val="00941E64"/>
    <w:rsid w:val="00974C76"/>
    <w:rsid w:val="00992160"/>
    <w:rsid w:val="009921A8"/>
    <w:rsid w:val="009A4724"/>
    <w:rsid w:val="009A6C59"/>
    <w:rsid w:val="009B664E"/>
    <w:rsid w:val="009C43D4"/>
    <w:rsid w:val="009D1095"/>
    <w:rsid w:val="009D2825"/>
    <w:rsid w:val="009E3348"/>
    <w:rsid w:val="009E3AF6"/>
    <w:rsid w:val="009E41B1"/>
    <w:rsid w:val="009F11FF"/>
    <w:rsid w:val="00A0281B"/>
    <w:rsid w:val="00A12E21"/>
    <w:rsid w:val="00A1487A"/>
    <w:rsid w:val="00A2159D"/>
    <w:rsid w:val="00A25069"/>
    <w:rsid w:val="00A26678"/>
    <w:rsid w:val="00A26A34"/>
    <w:rsid w:val="00A339A3"/>
    <w:rsid w:val="00A34BDD"/>
    <w:rsid w:val="00A36D0F"/>
    <w:rsid w:val="00A375E7"/>
    <w:rsid w:val="00A402DD"/>
    <w:rsid w:val="00A451CB"/>
    <w:rsid w:val="00A57C69"/>
    <w:rsid w:val="00A6662B"/>
    <w:rsid w:val="00A72FF2"/>
    <w:rsid w:val="00A76642"/>
    <w:rsid w:val="00A7693C"/>
    <w:rsid w:val="00A8221A"/>
    <w:rsid w:val="00A82452"/>
    <w:rsid w:val="00A8350B"/>
    <w:rsid w:val="00A8548C"/>
    <w:rsid w:val="00A855B9"/>
    <w:rsid w:val="00A86898"/>
    <w:rsid w:val="00A90E9A"/>
    <w:rsid w:val="00A91D80"/>
    <w:rsid w:val="00A931B5"/>
    <w:rsid w:val="00A957CE"/>
    <w:rsid w:val="00AA2B38"/>
    <w:rsid w:val="00AA3A01"/>
    <w:rsid w:val="00AB0135"/>
    <w:rsid w:val="00AB63AE"/>
    <w:rsid w:val="00AC1231"/>
    <w:rsid w:val="00AD29A0"/>
    <w:rsid w:val="00AD513B"/>
    <w:rsid w:val="00AD6BBF"/>
    <w:rsid w:val="00AD77F2"/>
    <w:rsid w:val="00AF0DCE"/>
    <w:rsid w:val="00AF40C4"/>
    <w:rsid w:val="00B0212E"/>
    <w:rsid w:val="00B0618A"/>
    <w:rsid w:val="00B06FE2"/>
    <w:rsid w:val="00B12573"/>
    <w:rsid w:val="00B13B73"/>
    <w:rsid w:val="00B251E7"/>
    <w:rsid w:val="00B254A2"/>
    <w:rsid w:val="00B267CB"/>
    <w:rsid w:val="00B360ED"/>
    <w:rsid w:val="00B42A27"/>
    <w:rsid w:val="00B442D7"/>
    <w:rsid w:val="00B47AFE"/>
    <w:rsid w:val="00B522AD"/>
    <w:rsid w:val="00B5775D"/>
    <w:rsid w:val="00B577C7"/>
    <w:rsid w:val="00B62A6A"/>
    <w:rsid w:val="00B6396A"/>
    <w:rsid w:val="00B764F9"/>
    <w:rsid w:val="00B7700B"/>
    <w:rsid w:val="00B773F3"/>
    <w:rsid w:val="00B8653B"/>
    <w:rsid w:val="00B961A3"/>
    <w:rsid w:val="00BA7B25"/>
    <w:rsid w:val="00BB5FE1"/>
    <w:rsid w:val="00BC741D"/>
    <w:rsid w:val="00BD1D08"/>
    <w:rsid w:val="00BD7EBE"/>
    <w:rsid w:val="00BE4B20"/>
    <w:rsid w:val="00BE56F3"/>
    <w:rsid w:val="00BF4409"/>
    <w:rsid w:val="00BF5E79"/>
    <w:rsid w:val="00BF64BD"/>
    <w:rsid w:val="00C068E1"/>
    <w:rsid w:val="00C07035"/>
    <w:rsid w:val="00C214E4"/>
    <w:rsid w:val="00C2289E"/>
    <w:rsid w:val="00C249CE"/>
    <w:rsid w:val="00C3045A"/>
    <w:rsid w:val="00C32C28"/>
    <w:rsid w:val="00C47A7B"/>
    <w:rsid w:val="00C5109F"/>
    <w:rsid w:val="00C510D9"/>
    <w:rsid w:val="00C54125"/>
    <w:rsid w:val="00C57C77"/>
    <w:rsid w:val="00C60A9E"/>
    <w:rsid w:val="00C710DC"/>
    <w:rsid w:val="00C86FE9"/>
    <w:rsid w:val="00C9587E"/>
    <w:rsid w:val="00C96E09"/>
    <w:rsid w:val="00CA0A64"/>
    <w:rsid w:val="00CA4D0B"/>
    <w:rsid w:val="00CB24E5"/>
    <w:rsid w:val="00CD165F"/>
    <w:rsid w:val="00CD2B06"/>
    <w:rsid w:val="00CD7A97"/>
    <w:rsid w:val="00CD7F4C"/>
    <w:rsid w:val="00CE291B"/>
    <w:rsid w:val="00CE4360"/>
    <w:rsid w:val="00CE751A"/>
    <w:rsid w:val="00D073E5"/>
    <w:rsid w:val="00D10F12"/>
    <w:rsid w:val="00D12147"/>
    <w:rsid w:val="00D134C2"/>
    <w:rsid w:val="00D138E7"/>
    <w:rsid w:val="00D216EE"/>
    <w:rsid w:val="00D21C0E"/>
    <w:rsid w:val="00D25C41"/>
    <w:rsid w:val="00D34215"/>
    <w:rsid w:val="00D374BF"/>
    <w:rsid w:val="00D40B8B"/>
    <w:rsid w:val="00D41BA1"/>
    <w:rsid w:val="00D426C3"/>
    <w:rsid w:val="00D45D74"/>
    <w:rsid w:val="00D4780F"/>
    <w:rsid w:val="00D51DB4"/>
    <w:rsid w:val="00D61289"/>
    <w:rsid w:val="00D62A48"/>
    <w:rsid w:val="00D74B16"/>
    <w:rsid w:val="00D75225"/>
    <w:rsid w:val="00D81EDC"/>
    <w:rsid w:val="00DB4D5D"/>
    <w:rsid w:val="00DC02AE"/>
    <w:rsid w:val="00DE60FB"/>
    <w:rsid w:val="00DE6300"/>
    <w:rsid w:val="00DE757E"/>
    <w:rsid w:val="00DF20E4"/>
    <w:rsid w:val="00DF23C2"/>
    <w:rsid w:val="00DF720C"/>
    <w:rsid w:val="00E00849"/>
    <w:rsid w:val="00E0382A"/>
    <w:rsid w:val="00E03F81"/>
    <w:rsid w:val="00E06FEC"/>
    <w:rsid w:val="00E26A73"/>
    <w:rsid w:val="00E27ABE"/>
    <w:rsid w:val="00E319AC"/>
    <w:rsid w:val="00E36D23"/>
    <w:rsid w:val="00E42C9D"/>
    <w:rsid w:val="00E46900"/>
    <w:rsid w:val="00E5599D"/>
    <w:rsid w:val="00E602B1"/>
    <w:rsid w:val="00E67584"/>
    <w:rsid w:val="00E8412C"/>
    <w:rsid w:val="00E9025F"/>
    <w:rsid w:val="00EA1887"/>
    <w:rsid w:val="00EA3C1D"/>
    <w:rsid w:val="00EA434A"/>
    <w:rsid w:val="00EA6C81"/>
    <w:rsid w:val="00EB7873"/>
    <w:rsid w:val="00EC3FFB"/>
    <w:rsid w:val="00ED0920"/>
    <w:rsid w:val="00ED2362"/>
    <w:rsid w:val="00EE1ED3"/>
    <w:rsid w:val="00EE7606"/>
    <w:rsid w:val="00EE776E"/>
    <w:rsid w:val="00F20753"/>
    <w:rsid w:val="00F21C9B"/>
    <w:rsid w:val="00F257EE"/>
    <w:rsid w:val="00F314FF"/>
    <w:rsid w:val="00F46CA8"/>
    <w:rsid w:val="00F71BFE"/>
    <w:rsid w:val="00F75C59"/>
    <w:rsid w:val="00F9102A"/>
    <w:rsid w:val="00F94D2E"/>
    <w:rsid w:val="00F95D5B"/>
    <w:rsid w:val="00F97339"/>
    <w:rsid w:val="00FA1218"/>
    <w:rsid w:val="00FB7B14"/>
    <w:rsid w:val="00FC046B"/>
    <w:rsid w:val="00FC12C0"/>
    <w:rsid w:val="00FC5171"/>
    <w:rsid w:val="00FC64FC"/>
    <w:rsid w:val="00FC7DB1"/>
    <w:rsid w:val="00FD0111"/>
    <w:rsid w:val="00FD34EF"/>
    <w:rsid w:val="00FE14E9"/>
    <w:rsid w:val="00FF42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1CD1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0242"/>
    <w:rPr>
      <w:rFonts w:ascii="Times New Roman" w:eastAsia="Times New Roman" w:hAnsi="Times New Roman" w:cs="Times New Roman"/>
      <w:lang w:val="en-GB"/>
    </w:rPr>
  </w:style>
  <w:style w:type="paragraph" w:styleId="Heading1">
    <w:name w:val="heading 1"/>
    <w:basedOn w:val="Normal"/>
    <w:next w:val="Normal"/>
    <w:link w:val="Heading1Char"/>
    <w:qFormat/>
    <w:rsid w:val="00934F12"/>
    <w:pPr>
      <w:keepNext/>
      <w:numPr>
        <w:numId w:val="1"/>
      </w:numPr>
      <w:pBdr>
        <w:bottom w:val="single" w:sz="4" w:space="1" w:color="auto"/>
      </w:pBdr>
      <w:tabs>
        <w:tab w:val="left" w:pos="2552"/>
      </w:tabs>
      <w:spacing w:line="288" w:lineRule="auto"/>
      <w:jc w:val="both"/>
      <w:outlineLvl w:val="0"/>
    </w:pPr>
    <w:rPr>
      <w:rFonts w:ascii="Arial" w:hAnsi="Arial" w:cs="Arial"/>
      <w:b/>
      <w:bCs/>
      <w:kern w:val="32"/>
      <w:sz w:val="40"/>
      <w:szCs w:val="32"/>
    </w:rPr>
  </w:style>
  <w:style w:type="paragraph" w:styleId="Heading2">
    <w:name w:val="heading 2"/>
    <w:basedOn w:val="Normal"/>
    <w:next w:val="Normal"/>
    <w:link w:val="Heading2Char"/>
    <w:qFormat/>
    <w:rsid w:val="00934F12"/>
    <w:pPr>
      <w:keepNext/>
      <w:numPr>
        <w:ilvl w:val="1"/>
        <w:numId w:val="1"/>
      </w:numPr>
      <w:spacing w:line="288" w:lineRule="auto"/>
      <w:jc w:val="both"/>
      <w:outlineLvl w:val="1"/>
    </w:pPr>
    <w:rPr>
      <w:rFonts w:ascii="Arial" w:hAnsi="Arial" w:cs="Arial"/>
      <w:b/>
      <w:bCs/>
      <w:iCs/>
      <w:caps/>
      <w:sz w:val="22"/>
      <w:szCs w:val="28"/>
    </w:rPr>
  </w:style>
  <w:style w:type="paragraph" w:styleId="Heading3">
    <w:name w:val="heading 3"/>
    <w:basedOn w:val="Normal"/>
    <w:next w:val="Normal"/>
    <w:link w:val="Heading3Char"/>
    <w:qFormat/>
    <w:rsid w:val="00934F12"/>
    <w:pPr>
      <w:keepNext/>
      <w:numPr>
        <w:ilvl w:val="2"/>
        <w:numId w:val="1"/>
      </w:numPr>
      <w:spacing w:line="288" w:lineRule="auto"/>
      <w:jc w:val="both"/>
      <w:outlineLvl w:val="2"/>
    </w:pPr>
    <w:rPr>
      <w:rFonts w:ascii="Arial" w:hAnsi="Arial" w:cs="Arial"/>
      <w:b/>
      <w:bCs/>
      <w:sz w:val="22"/>
      <w:szCs w:val="26"/>
    </w:rPr>
  </w:style>
  <w:style w:type="paragraph" w:styleId="Heading4">
    <w:name w:val="heading 4"/>
    <w:basedOn w:val="Normal"/>
    <w:next w:val="Normal"/>
    <w:link w:val="Heading4Char"/>
    <w:qFormat/>
    <w:rsid w:val="00934F12"/>
    <w:pPr>
      <w:keepNext/>
      <w:numPr>
        <w:ilvl w:val="3"/>
        <w:numId w:val="1"/>
      </w:numPr>
      <w:spacing w:line="288" w:lineRule="auto"/>
      <w:jc w:val="both"/>
      <w:outlineLvl w:val="3"/>
    </w:pPr>
    <w:rPr>
      <w:rFonts w:ascii="Arial" w:hAnsi="Arial"/>
      <w:b/>
      <w:bCs/>
      <w:sz w:val="22"/>
      <w:szCs w:val="28"/>
    </w:rPr>
  </w:style>
  <w:style w:type="paragraph" w:styleId="Heading5">
    <w:name w:val="heading 5"/>
    <w:basedOn w:val="Normal"/>
    <w:next w:val="Normal"/>
    <w:link w:val="Heading5Char"/>
    <w:qFormat/>
    <w:rsid w:val="00934F12"/>
    <w:pPr>
      <w:numPr>
        <w:ilvl w:val="4"/>
        <w:numId w:val="1"/>
      </w:numPr>
      <w:spacing w:line="288" w:lineRule="auto"/>
      <w:jc w:val="both"/>
      <w:outlineLvl w:val="4"/>
    </w:pPr>
    <w:rPr>
      <w:rFonts w:ascii="Arial" w:hAnsi="Arial"/>
      <w:b/>
      <w:bCs/>
      <w:iCs/>
      <w:sz w:val="22"/>
      <w:szCs w:val="26"/>
    </w:rPr>
  </w:style>
  <w:style w:type="paragraph" w:styleId="Heading6">
    <w:name w:val="heading 6"/>
    <w:basedOn w:val="Normal"/>
    <w:next w:val="Normal"/>
    <w:link w:val="Heading6Char"/>
    <w:qFormat/>
    <w:rsid w:val="00934F12"/>
    <w:pPr>
      <w:numPr>
        <w:ilvl w:val="5"/>
        <w:numId w:val="1"/>
      </w:numPr>
      <w:spacing w:line="288" w:lineRule="auto"/>
      <w:jc w:val="both"/>
      <w:outlineLvl w:val="5"/>
    </w:pPr>
    <w:rPr>
      <w:rFonts w:ascii="Arial" w:hAnsi="Arial"/>
      <w:b/>
      <w:bCs/>
      <w:sz w:val="22"/>
      <w:szCs w:val="22"/>
    </w:rPr>
  </w:style>
  <w:style w:type="paragraph" w:styleId="Heading7">
    <w:name w:val="heading 7"/>
    <w:basedOn w:val="Normal"/>
    <w:next w:val="Normal"/>
    <w:link w:val="Heading7Char"/>
    <w:qFormat/>
    <w:rsid w:val="00934F12"/>
    <w:pPr>
      <w:numPr>
        <w:ilvl w:val="6"/>
        <w:numId w:val="1"/>
      </w:numPr>
      <w:spacing w:line="288" w:lineRule="auto"/>
      <w:jc w:val="both"/>
      <w:outlineLvl w:val="6"/>
    </w:pPr>
    <w:rPr>
      <w:rFonts w:ascii="Arial" w:hAnsi="Arial"/>
      <w:b/>
      <w:sz w:val="22"/>
    </w:rPr>
  </w:style>
  <w:style w:type="paragraph" w:styleId="Heading8">
    <w:name w:val="heading 8"/>
    <w:basedOn w:val="Normal"/>
    <w:next w:val="Normal"/>
    <w:link w:val="Heading8Char"/>
    <w:qFormat/>
    <w:rsid w:val="00934F12"/>
    <w:pPr>
      <w:numPr>
        <w:ilvl w:val="7"/>
        <w:numId w:val="1"/>
      </w:numPr>
      <w:spacing w:line="288" w:lineRule="auto"/>
      <w:jc w:val="both"/>
      <w:outlineLvl w:val="7"/>
    </w:pPr>
    <w:rPr>
      <w:rFonts w:ascii="Arial" w:hAnsi="Arial"/>
      <w:b/>
      <w:iCs/>
      <w:sz w:val="22"/>
    </w:rPr>
  </w:style>
  <w:style w:type="paragraph" w:styleId="Heading9">
    <w:name w:val="heading 9"/>
    <w:basedOn w:val="Normal"/>
    <w:next w:val="Normal"/>
    <w:link w:val="Heading9Char"/>
    <w:qFormat/>
    <w:rsid w:val="00934F12"/>
    <w:pPr>
      <w:numPr>
        <w:ilvl w:val="8"/>
        <w:numId w:val="1"/>
      </w:numPr>
      <w:spacing w:line="288" w:lineRule="auto"/>
      <w:jc w:val="both"/>
      <w:outlineLvl w:val="8"/>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E21"/>
    <w:rPr>
      <w:rFonts w:ascii="Lucida Grande" w:hAnsi="Lucida Grande"/>
      <w:sz w:val="18"/>
      <w:szCs w:val="18"/>
    </w:rPr>
  </w:style>
  <w:style w:type="character" w:customStyle="1" w:styleId="BalloonTextChar">
    <w:name w:val="Balloon Text Char"/>
    <w:basedOn w:val="DefaultParagraphFont"/>
    <w:link w:val="BalloonText"/>
    <w:uiPriority w:val="99"/>
    <w:semiHidden/>
    <w:rsid w:val="00A12E21"/>
    <w:rPr>
      <w:rFonts w:ascii="Lucida Grande" w:hAnsi="Lucida Grande"/>
      <w:sz w:val="18"/>
      <w:szCs w:val="18"/>
    </w:rPr>
  </w:style>
  <w:style w:type="paragraph" w:styleId="Header">
    <w:name w:val="header"/>
    <w:basedOn w:val="Normal"/>
    <w:link w:val="HeaderChar"/>
    <w:unhideWhenUsed/>
    <w:rsid w:val="00A12E21"/>
    <w:pPr>
      <w:tabs>
        <w:tab w:val="center" w:pos="4320"/>
        <w:tab w:val="right" w:pos="8640"/>
      </w:tabs>
      <w:spacing w:line="288" w:lineRule="auto"/>
      <w:jc w:val="both"/>
    </w:pPr>
    <w:rPr>
      <w:rFonts w:ascii="Arial" w:eastAsiaTheme="minorEastAsia" w:hAnsi="Arial" w:cstheme="minorBidi"/>
      <w:sz w:val="22"/>
    </w:rPr>
  </w:style>
  <w:style w:type="character" w:customStyle="1" w:styleId="HeaderChar">
    <w:name w:val="Header Char"/>
    <w:basedOn w:val="DefaultParagraphFont"/>
    <w:link w:val="Header"/>
    <w:rsid w:val="00A12E21"/>
  </w:style>
  <w:style w:type="paragraph" w:styleId="Footer">
    <w:name w:val="footer"/>
    <w:basedOn w:val="Normal"/>
    <w:link w:val="FooterChar"/>
    <w:uiPriority w:val="99"/>
    <w:unhideWhenUsed/>
    <w:rsid w:val="00A12E21"/>
    <w:pPr>
      <w:tabs>
        <w:tab w:val="center" w:pos="4320"/>
        <w:tab w:val="right" w:pos="8640"/>
      </w:tabs>
      <w:spacing w:line="288" w:lineRule="auto"/>
      <w:jc w:val="both"/>
    </w:pPr>
    <w:rPr>
      <w:rFonts w:ascii="Arial" w:eastAsiaTheme="minorEastAsia" w:hAnsi="Arial" w:cstheme="minorBidi"/>
      <w:sz w:val="22"/>
    </w:rPr>
  </w:style>
  <w:style w:type="character" w:customStyle="1" w:styleId="FooterChar">
    <w:name w:val="Footer Char"/>
    <w:basedOn w:val="DefaultParagraphFont"/>
    <w:link w:val="Footer"/>
    <w:uiPriority w:val="99"/>
    <w:rsid w:val="00A12E21"/>
  </w:style>
  <w:style w:type="paragraph" w:customStyle="1" w:styleId="Header1">
    <w:name w:val="Header 1"/>
    <w:basedOn w:val="Normal"/>
    <w:qFormat/>
    <w:rsid w:val="00284BD6"/>
    <w:pPr>
      <w:spacing w:line="360" w:lineRule="auto"/>
      <w:ind w:left="720" w:right="5670"/>
      <w:jc w:val="center"/>
    </w:pPr>
    <w:rPr>
      <w:rFonts w:ascii="Arial" w:eastAsiaTheme="minorEastAsia" w:hAnsi="Arial" w:cstheme="minorBidi"/>
      <w:b/>
      <w:color w:val="006348"/>
      <w:sz w:val="44"/>
    </w:rPr>
  </w:style>
  <w:style w:type="paragraph" w:customStyle="1" w:styleId="Header2">
    <w:name w:val="Header 2"/>
    <w:basedOn w:val="Header1"/>
    <w:qFormat/>
    <w:rsid w:val="00F257EE"/>
    <w:pPr>
      <w:pBdr>
        <w:bottom w:val="single" w:sz="4" w:space="1" w:color="C2D69B" w:themeColor="accent3" w:themeTint="99"/>
      </w:pBdr>
      <w:ind w:right="0"/>
    </w:pPr>
    <w:rPr>
      <w:sz w:val="36"/>
    </w:rPr>
  </w:style>
  <w:style w:type="character" w:customStyle="1" w:styleId="TableTitle">
    <w:name w:val="Table Title"/>
    <w:basedOn w:val="DefaultParagraphFont"/>
    <w:uiPriority w:val="1"/>
    <w:rsid w:val="002F3CDC"/>
    <w:rPr>
      <w:rFonts w:ascii="Arial Bold" w:hAnsi="Arial Bold"/>
      <w:b/>
      <w:i w:val="0"/>
      <w:sz w:val="22"/>
      <w:u w:val="none"/>
    </w:rPr>
  </w:style>
  <w:style w:type="paragraph" w:styleId="Title">
    <w:name w:val="Title"/>
    <w:aliases w:val="Table Text"/>
    <w:basedOn w:val="Normal"/>
    <w:next w:val="Normal"/>
    <w:link w:val="TitleChar"/>
    <w:qFormat/>
    <w:rsid w:val="002F3CDC"/>
    <w:pPr>
      <w:spacing w:line="288" w:lineRule="auto"/>
      <w:contextualSpacing/>
      <w:jc w:val="both"/>
    </w:pPr>
    <w:rPr>
      <w:rFonts w:ascii="Arial" w:eastAsiaTheme="majorEastAsia" w:hAnsi="Arial" w:cstheme="majorBidi"/>
      <w:color w:val="000000" w:themeColor="text1"/>
      <w:spacing w:val="5"/>
      <w:kern w:val="28"/>
      <w:sz w:val="20"/>
      <w:szCs w:val="36"/>
    </w:rPr>
  </w:style>
  <w:style w:type="character" w:customStyle="1" w:styleId="TitleChar">
    <w:name w:val="Title Char"/>
    <w:aliases w:val="Table Text Char"/>
    <w:basedOn w:val="DefaultParagraphFont"/>
    <w:link w:val="Title"/>
    <w:rsid w:val="002F3CDC"/>
    <w:rPr>
      <w:rFonts w:ascii="Arial" w:eastAsiaTheme="majorEastAsia" w:hAnsi="Arial" w:cstheme="majorBidi"/>
      <w:color w:val="000000" w:themeColor="text1"/>
      <w:spacing w:val="5"/>
      <w:kern w:val="28"/>
      <w:sz w:val="20"/>
      <w:szCs w:val="36"/>
      <w:lang w:val="en-GB"/>
    </w:rPr>
  </w:style>
  <w:style w:type="character" w:customStyle="1" w:styleId="Authors">
    <w:name w:val="Authors"/>
    <w:basedOn w:val="TableTitle"/>
    <w:uiPriority w:val="1"/>
    <w:qFormat/>
    <w:rsid w:val="003D3199"/>
    <w:rPr>
      <w:rFonts w:ascii="Arial" w:hAnsi="Arial"/>
      <w:b/>
      <w:i w:val="0"/>
      <w:sz w:val="28"/>
      <w:u w:val="none"/>
    </w:rPr>
  </w:style>
  <w:style w:type="character" w:customStyle="1" w:styleId="Mainheader">
    <w:name w:val="Main header"/>
    <w:basedOn w:val="TableTitle"/>
    <w:uiPriority w:val="1"/>
    <w:qFormat/>
    <w:rsid w:val="00826A8D"/>
    <w:rPr>
      <w:rFonts w:ascii="LeituraSans-Grot 2" w:hAnsi="LeituraSans-Grot 2"/>
      <w:b/>
      <w:i w:val="0"/>
      <w:color w:val="FFFFFF" w:themeColor="background1"/>
      <w:sz w:val="56"/>
      <w:u w:val="none"/>
    </w:rPr>
  </w:style>
  <w:style w:type="character" w:customStyle="1" w:styleId="Heading1Char">
    <w:name w:val="Heading 1 Char"/>
    <w:basedOn w:val="DefaultParagraphFont"/>
    <w:link w:val="Heading1"/>
    <w:rsid w:val="00934F12"/>
    <w:rPr>
      <w:rFonts w:ascii="Arial" w:eastAsia="Times New Roman" w:hAnsi="Arial" w:cs="Arial"/>
      <w:b/>
      <w:bCs/>
      <w:kern w:val="32"/>
      <w:sz w:val="40"/>
      <w:szCs w:val="32"/>
      <w:lang w:val="en-GB"/>
    </w:rPr>
  </w:style>
  <w:style w:type="character" w:customStyle="1" w:styleId="Heading2Char">
    <w:name w:val="Heading 2 Char"/>
    <w:basedOn w:val="DefaultParagraphFont"/>
    <w:link w:val="Heading2"/>
    <w:rsid w:val="00934F12"/>
    <w:rPr>
      <w:rFonts w:ascii="Arial" w:eastAsia="Times New Roman" w:hAnsi="Arial" w:cs="Arial"/>
      <w:b/>
      <w:bCs/>
      <w:iCs/>
      <w:caps/>
      <w:sz w:val="22"/>
      <w:szCs w:val="28"/>
      <w:lang w:val="en-GB"/>
    </w:rPr>
  </w:style>
  <w:style w:type="character" w:customStyle="1" w:styleId="Heading3Char">
    <w:name w:val="Heading 3 Char"/>
    <w:basedOn w:val="DefaultParagraphFont"/>
    <w:link w:val="Heading3"/>
    <w:rsid w:val="00934F12"/>
    <w:rPr>
      <w:rFonts w:ascii="Arial" w:eastAsia="Times New Roman" w:hAnsi="Arial" w:cs="Arial"/>
      <w:b/>
      <w:bCs/>
      <w:sz w:val="22"/>
      <w:szCs w:val="26"/>
      <w:lang w:val="en-GB"/>
    </w:rPr>
  </w:style>
  <w:style w:type="character" w:customStyle="1" w:styleId="Heading4Char">
    <w:name w:val="Heading 4 Char"/>
    <w:basedOn w:val="DefaultParagraphFont"/>
    <w:link w:val="Heading4"/>
    <w:rsid w:val="00934F12"/>
    <w:rPr>
      <w:rFonts w:ascii="Arial" w:eastAsia="Times New Roman" w:hAnsi="Arial" w:cs="Times New Roman"/>
      <w:b/>
      <w:bCs/>
      <w:sz w:val="22"/>
      <w:szCs w:val="28"/>
      <w:lang w:val="en-GB"/>
    </w:rPr>
  </w:style>
  <w:style w:type="character" w:customStyle="1" w:styleId="Heading5Char">
    <w:name w:val="Heading 5 Char"/>
    <w:basedOn w:val="DefaultParagraphFont"/>
    <w:link w:val="Heading5"/>
    <w:rsid w:val="00934F12"/>
    <w:rPr>
      <w:rFonts w:ascii="Arial" w:eastAsia="Times New Roman" w:hAnsi="Arial" w:cs="Times New Roman"/>
      <w:b/>
      <w:bCs/>
      <w:iCs/>
      <w:sz w:val="22"/>
      <w:szCs w:val="26"/>
      <w:lang w:val="en-GB"/>
    </w:rPr>
  </w:style>
  <w:style w:type="character" w:customStyle="1" w:styleId="Heading6Char">
    <w:name w:val="Heading 6 Char"/>
    <w:basedOn w:val="DefaultParagraphFont"/>
    <w:link w:val="Heading6"/>
    <w:rsid w:val="00934F12"/>
    <w:rPr>
      <w:rFonts w:ascii="Arial" w:eastAsia="Times New Roman" w:hAnsi="Arial" w:cs="Times New Roman"/>
      <w:b/>
      <w:bCs/>
      <w:sz w:val="22"/>
      <w:szCs w:val="22"/>
      <w:lang w:val="en-GB"/>
    </w:rPr>
  </w:style>
  <w:style w:type="character" w:customStyle="1" w:styleId="Heading7Char">
    <w:name w:val="Heading 7 Char"/>
    <w:basedOn w:val="DefaultParagraphFont"/>
    <w:link w:val="Heading7"/>
    <w:rsid w:val="00934F12"/>
    <w:rPr>
      <w:rFonts w:ascii="Arial" w:eastAsia="Times New Roman" w:hAnsi="Arial" w:cs="Times New Roman"/>
      <w:b/>
      <w:sz w:val="22"/>
      <w:lang w:val="en-GB"/>
    </w:rPr>
  </w:style>
  <w:style w:type="character" w:customStyle="1" w:styleId="Heading8Char">
    <w:name w:val="Heading 8 Char"/>
    <w:basedOn w:val="DefaultParagraphFont"/>
    <w:link w:val="Heading8"/>
    <w:rsid w:val="00934F12"/>
    <w:rPr>
      <w:rFonts w:ascii="Arial" w:eastAsia="Times New Roman" w:hAnsi="Arial" w:cs="Times New Roman"/>
      <w:b/>
      <w:iCs/>
      <w:sz w:val="22"/>
      <w:lang w:val="en-GB"/>
    </w:rPr>
  </w:style>
  <w:style w:type="character" w:customStyle="1" w:styleId="Heading9Char">
    <w:name w:val="Heading 9 Char"/>
    <w:basedOn w:val="DefaultParagraphFont"/>
    <w:link w:val="Heading9"/>
    <w:rsid w:val="00934F12"/>
    <w:rPr>
      <w:rFonts w:ascii="Arial" w:eastAsia="Times New Roman" w:hAnsi="Arial" w:cs="Arial"/>
      <w:b/>
      <w:sz w:val="22"/>
      <w:szCs w:val="22"/>
      <w:lang w:val="en-GB"/>
    </w:rPr>
  </w:style>
  <w:style w:type="paragraph" w:customStyle="1" w:styleId="AppendixA">
    <w:name w:val="Appendix A"/>
    <w:basedOn w:val="Normal"/>
    <w:rsid w:val="00934F12"/>
    <w:pPr>
      <w:spacing w:line="288" w:lineRule="auto"/>
      <w:jc w:val="center"/>
    </w:pPr>
    <w:rPr>
      <w:rFonts w:ascii="Arial" w:hAnsi="Arial"/>
      <w:b/>
      <w:caps/>
      <w:sz w:val="30"/>
    </w:rPr>
  </w:style>
  <w:style w:type="paragraph" w:customStyle="1" w:styleId="AppendixTitle">
    <w:name w:val="Appendix Title"/>
    <w:basedOn w:val="AppendixA"/>
    <w:rsid w:val="00934F12"/>
    <w:rPr>
      <w:caps w:val="0"/>
    </w:rPr>
  </w:style>
  <w:style w:type="paragraph" w:customStyle="1" w:styleId="FPHeading1">
    <w:name w:val="FP Heading 1"/>
    <w:basedOn w:val="Normal"/>
    <w:rsid w:val="00934F12"/>
    <w:pPr>
      <w:spacing w:line="288" w:lineRule="auto"/>
      <w:jc w:val="center"/>
    </w:pPr>
    <w:rPr>
      <w:rFonts w:ascii="Arial" w:hAnsi="Arial"/>
      <w:b/>
      <w:caps/>
      <w:sz w:val="30"/>
    </w:rPr>
  </w:style>
  <w:style w:type="paragraph" w:customStyle="1" w:styleId="FPHeading2">
    <w:name w:val="FP Heading 2"/>
    <w:basedOn w:val="FPHeading1"/>
    <w:rsid w:val="00934F12"/>
    <w:rPr>
      <w:caps w:val="0"/>
      <w:sz w:val="40"/>
    </w:rPr>
  </w:style>
  <w:style w:type="paragraph" w:customStyle="1" w:styleId="FPHeading3">
    <w:name w:val="FP Heading 3"/>
    <w:basedOn w:val="FPHeading2"/>
    <w:rsid w:val="00934F12"/>
    <w:rPr>
      <w:sz w:val="30"/>
    </w:rPr>
  </w:style>
  <w:style w:type="paragraph" w:customStyle="1" w:styleId="OtherHeading">
    <w:name w:val="Other Heading"/>
    <w:basedOn w:val="Normal"/>
    <w:rsid w:val="00934F12"/>
    <w:pPr>
      <w:spacing w:line="288" w:lineRule="auto"/>
      <w:jc w:val="center"/>
    </w:pPr>
    <w:rPr>
      <w:rFonts w:ascii="Arial" w:hAnsi="Arial"/>
      <w:b/>
      <w:sz w:val="40"/>
    </w:rPr>
  </w:style>
  <w:style w:type="paragraph" w:customStyle="1" w:styleId="ReportText">
    <w:name w:val="Report Text"/>
    <w:link w:val="ReportTextChar"/>
    <w:rsid w:val="00934F12"/>
    <w:pPr>
      <w:spacing w:line="288" w:lineRule="auto"/>
      <w:jc w:val="both"/>
    </w:pPr>
    <w:rPr>
      <w:rFonts w:ascii="Arial" w:eastAsia="Times New Roman" w:hAnsi="Arial" w:cs="Times New Roman"/>
      <w:sz w:val="22"/>
      <w:szCs w:val="20"/>
      <w:lang w:val="en-GB"/>
    </w:rPr>
  </w:style>
  <w:style w:type="paragraph" w:styleId="TOC1">
    <w:name w:val="toc 1"/>
    <w:basedOn w:val="Normal"/>
    <w:next w:val="Normal"/>
    <w:autoRedefine/>
    <w:uiPriority w:val="39"/>
    <w:rsid w:val="00934F12"/>
    <w:pPr>
      <w:tabs>
        <w:tab w:val="left" w:pos="1387"/>
        <w:tab w:val="right" w:pos="9016"/>
      </w:tabs>
      <w:spacing w:before="240" w:line="288" w:lineRule="auto"/>
      <w:jc w:val="both"/>
    </w:pPr>
    <w:rPr>
      <w:rFonts w:ascii="Arial" w:hAnsi="Arial"/>
      <w:b/>
      <w:sz w:val="22"/>
    </w:rPr>
  </w:style>
  <w:style w:type="paragraph" w:styleId="TOC2">
    <w:name w:val="toc 2"/>
    <w:basedOn w:val="Normal"/>
    <w:next w:val="Normal"/>
    <w:autoRedefine/>
    <w:uiPriority w:val="39"/>
    <w:rsid w:val="00934F12"/>
    <w:pPr>
      <w:tabs>
        <w:tab w:val="left" w:pos="840"/>
        <w:tab w:val="right" w:pos="9016"/>
      </w:tabs>
      <w:spacing w:line="288" w:lineRule="auto"/>
      <w:jc w:val="both"/>
    </w:pPr>
    <w:rPr>
      <w:rFonts w:ascii="Arial" w:hAnsi="Arial"/>
      <w:noProof/>
      <w:sz w:val="22"/>
    </w:rPr>
  </w:style>
  <w:style w:type="character" w:styleId="Hyperlink">
    <w:name w:val="Hyperlink"/>
    <w:basedOn w:val="DefaultParagraphFont"/>
    <w:uiPriority w:val="99"/>
    <w:rsid w:val="00934F12"/>
    <w:rPr>
      <w:rFonts w:ascii="Arial" w:hAnsi="Arial"/>
      <w:color w:val="0000FF"/>
      <w:sz w:val="22"/>
      <w:u w:val="single"/>
    </w:rPr>
  </w:style>
  <w:style w:type="paragraph" w:customStyle="1" w:styleId="ProposalText">
    <w:name w:val="Proposal Text"/>
    <w:link w:val="ProposalTextChar"/>
    <w:rsid w:val="00934F12"/>
    <w:pPr>
      <w:spacing w:line="288" w:lineRule="auto"/>
      <w:jc w:val="both"/>
    </w:pPr>
    <w:rPr>
      <w:rFonts w:ascii="Arial" w:eastAsia="Times New Roman" w:hAnsi="Arial" w:cs="Times New Roman"/>
      <w:sz w:val="22"/>
      <w:szCs w:val="20"/>
      <w:lang w:val="en-GB"/>
    </w:rPr>
  </w:style>
  <w:style w:type="paragraph" w:styleId="List">
    <w:name w:val="List"/>
    <w:basedOn w:val="Normal"/>
    <w:rsid w:val="00934F12"/>
    <w:pPr>
      <w:numPr>
        <w:numId w:val="2"/>
      </w:numPr>
      <w:tabs>
        <w:tab w:val="left" w:pos="851"/>
      </w:tabs>
      <w:spacing w:line="288" w:lineRule="auto"/>
      <w:ind w:left="851" w:hanging="851"/>
      <w:contextualSpacing/>
      <w:jc w:val="both"/>
    </w:pPr>
    <w:rPr>
      <w:rFonts w:ascii="Arial" w:hAnsi="Arial"/>
      <w:b/>
      <w:caps/>
      <w:sz w:val="22"/>
    </w:rPr>
  </w:style>
  <w:style w:type="table" w:styleId="TableGrid">
    <w:name w:val="Table Grid"/>
    <w:basedOn w:val="TableNormal"/>
    <w:uiPriority w:val="39"/>
    <w:rsid w:val="00081137"/>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E8412C"/>
    <w:rPr>
      <w:rFonts w:ascii="Helvetica" w:eastAsia="ヒラギノ角ゴ Pro W3" w:hAnsi="Helvetica" w:cs="Times New Roman"/>
      <w:color w:val="000000"/>
      <w:szCs w:val="20"/>
      <w:lang w:eastAsia="en-GB"/>
    </w:rPr>
  </w:style>
  <w:style w:type="character" w:styleId="PlaceholderText">
    <w:name w:val="Placeholder Text"/>
    <w:basedOn w:val="DefaultParagraphFont"/>
    <w:uiPriority w:val="99"/>
    <w:semiHidden/>
    <w:rsid w:val="0018156D"/>
    <w:rPr>
      <w:color w:val="808080"/>
    </w:rPr>
  </w:style>
  <w:style w:type="character" w:styleId="FollowedHyperlink">
    <w:name w:val="FollowedHyperlink"/>
    <w:basedOn w:val="DefaultParagraphFont"/>
    <w:uiPriority w:val="99"/>
    <w:semiHidden/>
    <w:unhideWhenUsed/>
    <w:rsid w:val="00827684"/>
    <w:rPr>
      <w:color w:val="800080" w:themeColor="followedHyperlink"/>
      <w:u w:val="single"/>
    </w:rPr>
  </w:style>
  <w:style w:type="paragraph" w:styleId="ListParagraph">
    <w:name w:val="List Paragraph"/>
    <w:aliases w:val="Dairy Paragraphe"/>
    <w:basedOn w:val="Normal"/>
    <w:link w:val="ListParagraphChar"/>
    <w:uiPriority w:val="34"/>
    <w:qFormat/>
    <w:rsid w:val="00386A6A"/>
    <w:pPr>
      <w:spacing w:line="288" w:lineRule="auto"/>
      <w:ind w:left="851" w:hanging="851"/>
      <w:contextualSpacing/>
      <w:jc w:val="both"/>
    </w:pPr>
    <w:rPr>
      <w:rFonts w:ascii="Arial" w:eastAsiaTheme="minorEastAsia" w:hAnsi="Arial" w:cstheme="minorBidi"/>
      <w:sz w:val="22"/>
    </w:rPr>
  </w:style>
  <w:style w:type="paragraph" w:customStyle="1" w:styleId="TableColumnHeading">
    <w:name w:val="Table Column Heading"/>
    <w:basedOn w:val="Normal"/>
    <w:rsid w:val="007D5CFE"/>
    <w:pPr>
      <w:jc w:val="both"/>
    </w:pPr>
    <w:rPr>
      <w:rFonts w:ascii="Arial" w:hAnsi="Arial"/>
      <w:b/>
      <w:sz w:val="20"/>
      <w:szCs w:val="20"/>
    </w:rPr>
  </w:style>
  <w:style w:type="character" w:customStyle="1" w:styleId="ProposalTextChar">
    <w:name w:val="Proposal Text Char"/>
    <w:basedOn w:val="DefaultParagraphFont"/>
    <w:link w:val="ProposalText"/>
    <w:rsid w:val="007D5CFE"/>
    <w:rPr>
      <w:rFonts w:ascii="Arial" w:eastAsia="Times New Roman" w:hAnsi="Arial" w:cs="Times New Roman"/>
      <w:sz w:val="22"/>
      <w:szCs w:val="20"/>
      <w:lang w:val="en-GB"/>
    </w:rPr>
  </w:style>
  <w:style w:type="character" w:customStyle="1" w:styleId="ReportTextChar">
    <w:name w:val="Report Text Char"/>
    <w:link w:val="ReportText"/>
    <w:locked/>
    <w:rsid w:val="007D5CFE"/>
    <w:rPr>
      <w:rFonts w:ascii="Arial" w:eastAsia="Times New Roman" w:hAnsi="Arial" w:cs="Times New Roman"/>
      <w:sz w:val="22"/>
      <w:szCs w:val="20"/>
      <w:lang w:val="en-GB"/>
    </w:rPr>
  </w:style>
  <w:style w:type="paragraph" w:styleId="NoSpacing">
    <w:name w:val="No Spacing"/>
    <w:uiPriority w:val="1"/>
    <w:qFormat/>
    <w:rsid w:val="007D7A86"/>
    <w:rPr>
      <w:rFonts w:ascii="Calibri" w:eastAsia="Calibri" w:hAnsi="Calibri" w:cs="Times New Roman"/>
      <w:sz w:val="22"/>
      <w:szCs w:val="22"/>
    </w:rPr>
  </w:style>
  <w:style w:type="paragraph" w:styleId="NormalWeb">
    <w:name w:val="Normal (Web)"/>
    <w:basedOn w:val="Normal"/>
    <w:unhideWhenUsed/>
    <w:rsid w:val="002D6339"/>
    <w:pPr>
      <w:spacing w:before="100" w:beforeAutospacing="1" w:after="100" w:afterAutospacing="1"/>
    </w:pPr>
    <w:rPr>
      <w:lang w:eastAsia="en-GB"/>
    </w:rPr>
  </w:style>
  <w:style w:type="paragraph" w:styleId="CommentText">
    <w:name w:val="annotation text"/>
    <w:basedOn w:val="Normal"/>
    <w:link w:val="CommentTextChar"/>
    <w:uiPriority w:val="99"/>
    <w:semiHidden/>
    <w:unhideWhenUsed/>
    <w:rsid w:val="005D46ED"/>
    <w:rPr>
      <w:sz w:val="20"/>
      <w:szCs w:val="20"/>
    </w:rPr>
  </w:style>
  <w:style w:type="character" w:customStyle="1" w:styleId="CommentTextChar">
    <w:name w:val="Comment Text Char"/>
    <w:basedOn w:val="DefaultParagraphFont"/>
    <w:link w:val="CommentText"/>
    <w:uiPriority w:val="99"/>
    <w:semiHidden/>
    <w:rsid w:val="005D46ED"/>
    <w:rPr>
      <w:rFonts w:ascii="Arial" w:hAnsi="Arial"/>
      <w:sz w:val="20"/>
      <w:szCs w:val="20"/>
      <w:lang w:val="en-GB"/>
    </w:rPr>
  </w:style>
  <w:style w:type="character" w:styleId="CommentReference">
    <w:name w:val="annotation reference"/>
    <w:basedOn w:val="DefaultParagraphFont"/>
    <w:uiPriority w:val="99"/>
    <w:semiHidden/>
    <w:unhideWhenUsed/>
    <w:rsid w:val="005D46ED"/>
    <w:rPr>
      <w:rFonts w:cs="Times New Roman"/>
      <w:sz w:val="18"/>
      <w:szCs w:val="18"/>
    </w:rPr>
  </w:style>
  <w:style w:type="character" w:customStyle="1" w:styleId="ListParagraphChar">
    <w:name w:val="List Paragraph Char"/>
    <w:aliases w:val="Dairy Paragraphe Char"/>
    <w:basedOn w:val="DefaultParagraphFont"/>
    <w:link w:val="ListParagraph"/>
    <w:uiPriority w:val="34"/>
    <w:rsid w:val="00565C62"/>
    <w:rPr>
      <w:rFonts w:ascii="Arial" w:hAnsi="Arial"/>
      <w:sz w:val="22"/>
      <w:lang w:val="en-GB"/>
    </w:rPr>
  </w:style>
  <w:style w:type="table" w:customStyle="1" w:styleId="TableGrid1">
    <w:name w:val="Table Grid1"/>
    <w:basedOn w:val="TableNormal"/>
    <w:next w:val="TableGrid"/>
    <w:rsid w:val="00565C62"/>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5C62"/>
    <w:rPr>
      <w:rFonts w:ascii="Arial" w:hAnsi="Arial"/>
      <w:sz w:val="22"/>
      <w:lang w:val="en-GB"/>
    </w:rPr>
  </w:style>
  <w:style w:type="paragraph" w:styleId="FootnoteText">
    <w:name w:val="footnote text"/>
    <w:basedOn w:val="Normal"/>
    <w:link w:val="FootnoteTextChar"/>
    <w:uiPriority w:val="99"/>
    <w:semiHidden/>
    <w:unhideWhenUsed/>
    <w:rsid w:val="00C60A9E"/>
    <w:pPr>
      <w:jc w:val="both"/>
    </w:pPr>
    <w:rPr>
      <w:rFonts w:ascii="Arial" w:eastAsiaTheme="minorEastAsia" w:hAnsi="Arial" w:cstheme="minorBidi"/>
      <w:sz w:val="20"/>
      <w:szCs w:val="20"/>
    </w:rPr>
  </w:style>
  <w:style w:type="character" w:customStyle="1" w:styleId="FootnoteTextChar">
    <w:name w:val="Footnote Text Char"/>
    <w:basedOn w:val="DefaultParagraphFont"/>
    <w:link w:val="FootnoteText"/>
    <w:uiPriority w:val="99"/>
    <w:semiHidden/>
    <w:rsid w:val="00C60A9E"/>
    <w:rPr>
      <w:rFonts w:ascii="Arial" w:hAnsi="Arial"/>
      <w:sz w:val="20"/>
      <w:szCs w:val="20"/>
      <w:lang w:val="en-GB"/>
    </w:rPr>
  </w:style>
  <w:style w:type="character" w:styleId="FootnoteReference">
    <w:name w:val="footnote reference"/>
    <w:basedOn w:val="DefaultParagraphFont"/>
    <w:uiPriority w:val="99"/>
    <w:semiHidden/>
    <w:unhideWhenUsed/>
    <w:rsid w:val="00C60A9E"/>
    <w:rPr>
      <w:vertAlign w:val="superscript"/>
    </w:rPr>
  </w:style>
  <w:style w:type="character" w:customStyle="1" w:styleId="UnresolvedMention1">
    <w:name w:val="Unresolved Mention1"/>
    <w:basedOn w:val="DefaultParagraphFont"/>
    <w:uiPriority w:val="99"/>
    <w:semiHidden/>
    <w:unhideWhenUsed/>
    <w:rsid w:val="006E1147"/>
    <w:rPr>
      <w:color w:val="808080"/>
      <w:shd w:val="clear" w:color="auto" w:fill="E6E6E6"/>
    </w:rPr>
  </w:style>
  <w:style w:type="character" w:customStyle="1" w:styleId="apple-converted-space">
    <w:name w:val="apple-converted-space"/>
    <w:basedOn w:val="DefaultParagraphFont"/>
    <w:rsid w:val="006E6218"/>
  </w:style>
  <w:style w:type="paragraph" w:styleId="CommentSubject">
    <w:name w:val="annotation subject"/>
    <w:basedOn w:val="CommentText"/>
    <w:next w:val="CommentText"/>
    <w:link w:val="CommentSubjectChar"/>
    <w:uiPriority w:val="99"/>
    <w:semiHidden/>
    <w:unhideWhenUsed/>
    <w:rsid w:val="002660AC"/>
    <w:rPr>
      <w:b/>
      <w:bCs/>
    </w:rPr>
  </w:style>
  <w:style w:type="character" w:customStyle="1" w:styleId="CommentSubjectChar">
    <w:name w:val="Comment Subject Char"/>
    <w:basedOn w:val="CommentTextChar"/>
    <w:link w:val="CommentSubject"/>
    <w:uiPriority w:val="99"/>
    <w:semiHidden/>
    <w:rsid w:val="002660AC"/>
    <w:rPr>
      <w:rFonts w:ascii="Times New Roman" w:eastAsia="Times New Roman" w:hAnsi="Times New Roman" w:cs="Times New Roman"/>
      <w:b/>
      <w:bCs/>
      <w:sz w:val="20"/>
      <w:szCs w:val="20"/>
      <w:lang w:val="en-GB"/>
    </w:rPr>
  </w:style>
  <w:style w:type="character" w:customStyle="1" w:styleId="UnresolvedMention2">
    <w:name w:val="Unresolved Mention2"/>
    <w:basedOn w:val="DefaultParagraphFont"/>
    <w:uiPriority w:val="99"/>
    <w:semiHidden/>
    <w:unhideWhenUsed/>
    <w:rsid w:val="00DF23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5438">
      <w:bodyDiv w:val="1"/>
      <w:marLeft w:val="0"/>
      <w:marRight w:val="0"/>
      <w:marTop w:val="0"/>
      <w:marBottom w:val="0"/>
      <w:divBdr>
        <w:top w:val="none" w:sz="0" w:space="0" w:color="auto"/>
        <w:left w:val="none" w:sz="0" w:space="0" w:color="auto"/>
        <w:bottom w:val="none" w:sz="0" w:space="0" w:color="auto"/>
        <w:right w:val="none" w:sz="0" w:space="0" w:color="auto"/>
      </w:divBdr>
    </w:div>
    <w:div w:id="39593261">
      <w:bodyDiv w:val="1"/>
      <w:marLeft w:val="0"/>
      <w:marRight w:val="0"/>
      <w:marTop w:val="0"/>
      <w:marBottom w:val="0"/>
      <w:divBdr>
        <w:top w:val="none" w:sz="0" w:space="0" w:color="auto"/>
        <w:left w:val="none" w:sz="0" w:space="0" w:color="auto"/>
        <w:bottom w:val="none" w:sz="0" w:space="0" w:color="auto"/>
        <w:right w:val="none" w:sz="0" w:space="0" w:color="auto"/>
      </w:divBdr>
    </w:div>
    <w:div w:id="137453461">
      <w:bodyDiv w:val="1"/>
      <w:marLeft w:val="0"/>
      <w:marRight w:val="0"/>
      <w:marTop w:val="0"/>
      <w:marBottom w:val="0"/>
      <w:divBdr>
        <w:top w:val="none" w:sz="0" w:space="0" w:color="auto"/>
        <w:left w:val="none" w:sz="0" w:space="0" w:color="auto"/>
        <w:bottom w:val="none" w:sz="0" w:space="0" w:color="auto"/>
        <w:right w:val="none" w:sz="0" w:space="0" w:color="auto"/>
      </w:divBdr>
    </w:div>
    <w:div w:id="169217156">
      <w:bodyDiv w:val="1"/>
      <w:marLeft w:val="0"/>
      <w:marRight w:val="0"/>
      <w:marTop w:val="0"/>
      <w:marBottom w:val="0"/>
      <w:divBdr>
        <w:top w:val="none" w:sz="0" w:space="0" w:color="auto"/>
        <w:left w:val="none" w:sz="0" w:space="0" w:color="auto"/>
        <w:bottom w:val="none" w:sz="0" w:space="0" w:color="auto"/>
        <w:right w:val="none" w:sz="0" w:space="0" w:color="auto"/>
      </w:divBdr>
    </w:div>
    <w:div w:id="191648331">
      <w:bodyDiv w:val="1"/>
      <w:marLeft w:val="0"/>
      <w:marRight w:val="0"/>
      <w:marTop w:val="0"/>
      <w:marBottom w:val="0"/>
      <w:divBdr>
        <w:top w:val="none" w:sz="0" w:space="0" w:color="auto"/>
        <w:left w:val="none" w:sz="0" w:space="0" w:color="auto"/>
        <w:bottom w:val="none" w:sz="0" w:space="0" w:color="auto"/>
        <w:right w:val="none" w:sz="0" w:space="0" w:color="auto"/>
      </w:divBdr>
    </w:div>
    <w:div w:id="206721178">
      <w:bodyDiv w:val="1"/>
      <w:marLeft w:val="0"/>
      <w:marRight w:val="0"/>
      <w:marTop w:val="0"/>
      <w:marBottom w:val="0"/>
      <w:divBdr>
        <w:top w:val="none" w:sz="0" w:space="0" w:color="auto"/>
        <w:left w:val="none" w:sz="0" w:space="0" w:color="auto"/>
        <w:bottom w:val="none" w:sz="0" w:space="0" w:color="auto"/>
        <w:right w:val="none" w:sz="0" w:space="0" w:color="auto"/>
      </w:divBdr>
    </w:div>
    <w:div w:id="419449504">
      <w:bodyDiv w:val="1"/>
      <w:marLeft w:val="0"/>
      <w:marRight w:val="0"/>
      <w:marTop w:val="0"/>
      <w:marBottom w:val="0"/>
      <w:divBdr>
        <w:top w:val="none" w:sz="0" w:space="0" w:color="auto"/>
        <w:left w:val="none" w:sz="0" w:space="0" w:color="auto"/>
        <w:bottom w:val="none" w:sz="0" w:space="0" w:color="auto"/>
        <w:right w:val="none" w:sz="0" w:space="0" w:color="auto"/>
      </w:divBdr>
    </w:div>
    <w:div w:id="443619842">
      <w:bodyDiv w:val="1"/>
      <w:marLeft w:val="0"/>
      <w:marRight w:val="0"/>
      <w:marTop w:val="0"/>
      <w:marBottom w:val="0"/>
      <w:divBdr>
        <w:top w:val="none" w:sz="0" w:space="0" w:color="auto"/>
        <w:left w:val="none" w:sz="0" w:space="0" w:color="auto"/>
        <w:bottom w:val="none" w:sz="0" w:space="0" w:color="auto"/>
        <w:right w:val="none" w:sz="0" w:space="0" w:color="auto"/>
      </w:divBdr>
    </w:div>
    <w:div w:id="448671905">
      <w:bodyDiv w:val="1"/>
      <w:marLeft w:val="0"/>
      <w:marRight w:val="0"/>
      <w:marTop w:val="0"/>
      <w:marBottom w:val="0"/>
      <w:divBdr>
        <w:top w:val="none" w:sz="0" w:space="0" w:color="auto"/>
        <w:left w:val="none" w:sz="0" w:space="0" w:color="auto"/>
        <w:bottom w:val="none" w:sz="0" w:space="0" w:color="auto"/>
        <w:right w:val="none" w:sz="0" w:space="0" w:color="auto"/>
      </w:divBdr>
    </w:div>
    <w:div w:id="464128094">
      <w:bodyDiv w:val="1"/>
      <w:marLeft w:val="0"/>
      <w:marRight w:val="0"/>
      <w:marTop w:val="0"/>
      <w:marBottom w:val="0"/>
      <w:divBdr>
        <w:top w:val="none" w:sz="0" w:space="0" w:color="auto"/>
        <w:left w:val="none" w:sz="0" w:space="0" w:color="auto"/>
        <w:bottom w:val="none" w:sz="0" w:space="0" w:color="auto"/>
        <w:right w:val="none" w:sz="0" w:space="0" w:color="auto"/>
      </w:divBdr>
    </w:div>
    <w:div w:id="495809240">
      <w:bodyDiv w:val="1"/>
      <w:marLeft w:val="0"/>
      <w:marRight w:val="0"/>
      <w:marTop w:val="0"/>
      <w:marBottom w:val="0"/>
      <w:divBdr>
        <w:top w:val="none" w:sz="0" w:space="0" w:color="auto"/>
        <w:left w:val="none" w:sz="0" w:space="0" w:color="auto"/>
        <w:bottom w:val="none" w:sz="0" w:space="0" w:color="auto"/>
        <w:right w:val="none" w:sz="0" w:space="0" w:color="auto"/>
      </w:divBdr>
    </w:div>
    <w:div w:id="651056685">
      <w:bodyDiv w:val="1"/>
      <w:marLeft w:val="0"/>
      <w:marRight w:val="0"/>
      <w:marTop w:val="0"/>
      <w:marBottom w:val="0"/>
      <w:divBdr>
        <w:top w:val="none" w:sz="0" w:space="0" w:color="auto"/>
        <w:left w:val="none" w:sz="0" w:space="0" w:color="auto"/>
        <w:bottom w:val="none" w:sz="0" w:space="0" w:color="auto"/>
        <w:right w:val="none" w:sz="0" w:space="0" w:color="auto"/>
      </w:divBdr>
    </w:div>
    <w:div w:id="699864736">
      <w:bodyDiv w:val="1"/>
      <w:marLeft w:val="0"/>
      <w:marRight w:val="0"/>
      <w:marTop w:val="0"/>
      <w:marBottom w:val="0"/>
      <w:divBdr>
        <w:top w:val="none" w:sz="0" w:space="0" w:color="auto"/>
        <w:left w:val="none" w:sz="0" w:space="0" w:color="auto"/>
        <w:bottom w:val="none" w:sz="0" w:space="0" w:color="auto"/>
        <w:right w:val="none" w:sz="0" w:space="0" w:color="auto"/>
      </w:divBdr>
    </w:div>
    <w:div w:id="715660981">
      <w:bodyDiv w:val="1"/>
      <w:marLeft w:val="0"/>
      <w:marRight w:val="0"/>
      <w:marTop w:val="0"/>
      <w:marBottom w:val="0"/>
      <w:divBdr>
        <w:top w:val="none" w:sz="0" w:space="0" w:color="auto"/>
        <w:left w:val="none" w:sz="0" w:space="0" w:color="auto"/>
        <w:bottom w:val="none" w:sz="0" w:space="0" w:color="auto"/>
        <w:right w:val="none" w:sz="0" w:space="0" w:color="auto"/>
      </w:divBdr>
    </w:div>
    <w:div w:id="806973120">
      <w:bodyDiv w:val="1"/>
      <w:marLeft w:val="0"/>
      <w:marRight w:val="0"/>
      <w:marTop w:val="0"/>
      <w:marBottom w:val="0"/>
      <w:divBdr>
        <w:top w:val="none" w:sz="0" w:space="0" w:color="auto"/>
        <w:left w:val="none" w:sz="0" w:space="0" w:color="auto"/>
        <w:bottom w:val="none" w:sz="0" w:space="0" w:color="auto"/>
        <w:right w:val="none" w:sz="0" w:space="0" w:color="auto"/>
      </w:divBdr>
    </w:div>
    <w:div w:id="954869439">
      <w:bodyDiv w:val="1"/>
      <w:marLeft w:val="0"/>
      <w:marRight w:val="0"/>
      <w:marTop w:val="0"/>
      <w:marBottom w:val="0"/>
      <w:divBdr>
        <w:top w:val="none" w:sz="0" w:space="0" w:color="auto"/>
        <w:left w:val="none" w:sz="0" w:space="0" w:color="auto"/>
        <w:bottom w:val="none" w:sz="0" w:space="0" w:color="auto"/>
        <w:right w:val="none" w:sz="0" w:space="0" w:color="auto"/>
      </w:divBdr>
    </w:div>
    <w:div w:id="980422198">
      <w:bodyDiv w:val="1"/>
      <w:marLeft w:val="0"/>
      <w:marRight w:val="0"/>
      <w:marTop w:val="0"/>
      <w:marBottom w:val="0"/>
      <w:divBdr>
        <w:top w:val="none" w:sz="0" w:space="0" w:color="auto"/>
        <w:left w:val="none" w:sz="0" w:space="0" w:color="auto"/>
        <w:bottom w:val="none" w:sz="0" w:space="0" w:color="auto"/>
        <w:right w:val="none" w:sz="0" w:space="0" w:color="auto"/>
      </w:divBdr>
    </w:div>
    <w:div w:id="1045837041">
      <w:bodyDiv w:val="1"/>
      <w:marLeft w:val="0"/>
      <w:marRight w:val="0"/>
      <w:marTop w:val="0"/>
      <w:marBottom w:val="0"/>
      <w:divBdr>
        <w:top w:val="none" w:sz="0" w:space="0" w:color="auto"/>
        <w:left w:val="none" w:sz="0" w:space="0" w:color="auto"/>
        <w:bottom w:val="none" w:sz="0" w:space="0" w:color="auto"/>
        <w:right w:val="none" w:sz="0" w:space="0" w:color="auto"/>
      </w:divBdr>
    </w:div>
    <w:div w:id="1109084041">
      <w:bodyDiv w:val="1"/>
      <w:marLeft w:val="0"/>
      <w:marRight w:val="0"/>
      <w:marTop w:val="0"/>
      <w:marBottom w:val="0"/>
      <w:divBdr>
        <w:top w:val="none" w:sz="0" w:space="0" w:color="auto"/>
        <w:left w:val="none" w:sz="0" w:space="0" w:color="auto"/>
        <w:bottom w:val="none" w:sz="0" w:space="0" w:color="auto"/>
        <w:right w:val="none" w:sz="0" w:space="0" w:color="auto"/>
      </w:divBdr>
    </w:div>
    <w:div w:id="1135365778">
      <w:bodyDiv w:val="1"/>
      <w:marLeft w:val="0"/>
      <w:marRight w:val="0"/>
      <w:marTop w:val="0"/>
      <w:marBottom w:val="0"/>
      <w:divBdr>
        <w:top w:val="none" w:sz="0" w:space="0" w:color="auto"/>
        <w:left w:val="none" w:sz="0" w:space="0" w:color="auto"/>
        <w:bottom w:val="none" w:sz="0" w:space="0" w:color="auto"/>
        <w:right w:val="none" w:sz="0" w:space="0" w:color="auto"/>
      </w:divBdr>
    </w:div>
    <w:div w:id="1170869024">
      <w:bodyDiv w:val="1"/>
      <w:marLeft w:val="0"/>
      <w:marRight w:val="0"/>
      <w:marTop w:val="0"/>
      <w:marBottom w:val="0"/>
      <w:divBdr>
        <w:top w:val="none" w:sz="0" w:space="0" w:color="auto"/>
        <w:left w:val="none" w:sz="0" w:space="0" w:color="auto"/>
        <w:bottom w:val="none" w:sz="0" w:space="0" w:color="auto"/>
        <w:right w:val="none" w:sz="0" w:space="0" w:color="auto"/>
      </w:divBdr>
    </w:div>
    <w:div w:id="1250119830">
      <w:bodyDiv w:val="1"/>
      <w:marLeft w:val="0"/>
      <w:marRight w:val="0"/>
      <w:marTop w:val="0"/>
      <w:marBottom w:val="0"/>
      <w:divBdr>
        <w:top w:val="none" w:sz="0" w:space="0" w:color="auto"/>
        <w:left w:val="none" w:sz="0" w:space="0" w:color="auto"/>
        <w:bottom w:val="none" w:sz="0" w:space="0" w:color="auto"/>
        <w:right w:val="none" w:sz="0" w:space="0" w:color="auto"/>
      </w:divBdr>
    </w:div>
    <w:div w:id="1269392159">
      <w:bodyDiv w:val="1"/>
      <w:marLeft w:val="0"/>
      <w:marRight w:val="0"/>
      <w:marTop w:val="0"/>
      <w:marBottom w:val="0"/>
      <w:divBdr>
        <w:top w:val="none" w:sz="0" w:space="0" w:color="auto"/>
        <w:left w:val="none" w:sz="0" w:space="0" w:color="auto"/>
        <w:bottom w:val="none" w:sz="0" w:space="0" w:color="auto"/>
        <w:right w:val="none" w:sz="0" w:space="0" w:color="auto"/>
      </w:divBdr>
    </w:div>
    <w:div w:id="1353606182">
      <w:bodyDiv w:val="1"/>
      <w:marLeft w:val="0"/>
      <w:marRight w:val="0"/>
      <w:marTop w:val="0"/>
      <w:marBottom w:val="0"/>
      <w:divBdr>
        <w:top w:val="none" w:sz="0" w:space="0" w:color="auto"/>
        <w:left w:val="none" w:sz="0" w:space="0" w:color="auto"/>
        <w:bottom w:val="none" w:sz="0" w:space="0" w:color="auto"/>
        <w:right w:val="none" w:sz="0" w:space="0" w:color="auto"/>
      </w:divBdr>
    </w:div>
    <w:div w:id="1429694742">
      <w:bodyDiv w:val="1"/>
      <w:marLeft w:val="0"/>
      <w:marRight w:val="0"/>
      <w:marTop w:val="0"/>
      <w:marBottom w:val="0"/>
      <w:divBdr>
        <w:top w:val="none" w:sz="0" w:space="0" w:color="auto"/>
        <w:left w:val="none" w:sz="0" w:space="0" w:color="auto"/>
        <w:bottom w:val="none" w:sz="0" w:space="0" w:color="auto"/>
        <w:right w:val="none" w:sz="0" w:space="0" w:color="auto"/>
      </w:divBdr>
    </w:div>
    <w:div w:id="1436099553">
      <w:bodyDiv w:val="1"/>
      <w:marLeft w:val="0"/>
      <w:marRight w:val="0"/>
      <w:marTop w:val="0"/>
      <w:marBottom w:val="0"/>
      <w:divBdr>
        <w:top w:val="none" w:sz="0" w:space="0" w:color="auto"/>
        <w:left w:val="none" w:sz="0" w:space="0" w:color="auto"/>
        <w:bottom w:val="none" w:sz="0" w:space="0" w:color="auto"/>
        <w:right w:val="none" w:sz="0" w:space="0" w:color="auto"/>
      </w:divBdr>
    </w:div>
    <w:div w:id="1473059137">
      <w:bodyDiv w:val="1"/>
      <w:marLeft w:val="0"/>
      <w:marRight w:val="0"/>
      <w:marTop w:val="0"/>
      <w:marBottom w:val="0"/>
      <w:divBdr>
        <w:top w:val="none" w:sz="0" w:space="0" w:color="auto"/>
        <w:left w:val="none" w:sz="0" w:space="0" w:color="auto"/>
        <w:bottom w:val="none" w:sz="0" w:space="0" w:color="auto"/>
        <w:right w:val="none" w:sz="0" w:space="0" w:color="auto"/>
      </w:divBdr>
    </w:div>
    <w:div w:id="1494906044">
      <w:bodyDiv w:val="1"/>
      <w:marLeft w:val="0"/>
      <w:marRight w:val="0"/>
      <w:marTop w:val="0"/>
      <w:marBottom w:val="0"/>
      <w:divBdr>
        <w:top w:val="none" w:sz="0" w:space="0" w:color="auto"/>
        <w:left w:val="none" w:sz="0" w:space="0" w:color="auto"/>
        <w:bottom w:val="none" w:sz="0" w:space="0" w:color="auto"/>
        <w:right w:val="none" w:sz="0" w:space="0" w:color="auto"/>
      </w:divBdr>
    </w:div>
    <w:div w:id="1526014131">
      <w:bodyDiv w:val="1"/>
      <w:marLeft w:val="0"/>
      <w:marRight w:val="0"/>
      <w:marTop w:val="0"/>
      <w:marBottom w:val="0"/>
      <w:divBdr>
        <w:top w:val="none" w:sz="0" w:space="0" w:color="auto"/>
        <w:left w:val="none" w:sz="0" w:space="0" w:color="auto"/>
        <w:bottom w:val="none" w:sz="0" w:space="0" w:color="auto"/>
        <w:right w:val="none" w:sz="0" w:space="0" w:color="auto"/>
      </w:divBdr>
    </w:div>
    <w:div w:id="1559053653">
      <w:bodyDiv w:val="1"/>
      <w:marLeft w:val="0"/>
      <w:marRight w:val="0"/>
      <w:marTop w:val="0"/>
      <w:marBottom w:val="0"/>
      <w:divBdr>
        <w:top w:val="none" w:sz="0" w:space="0" w:color="auto"/>
        <w:left w:val="none" w:sz="0" w:space="0" w:color="auto"/>
        <w:bottom w:val="none" w:sz="0" w:space="0" w:color="auto"/>
        <w:right w:val="none" w:sz="0" w:space="0" w:color="auto"/>
      </w:divBdr>
    </w:div>
    <w:div w:id="1565097434">
      <w:bodyDiv w:val="1"/>
      <w:marLeft w:val="0"/>
      <w:marRight w:val="0"/>
      <w:marTop w:val="0"/>
      <w:marBottom w:val="0"/>
      <w:divBdr>
        <w:top w:val="none" w:sz="0" w:space="0" w:color="auto"/>
        <w:left w:val="none" w:sz="0" w:space="0" w:color="auto"/>
        <w:bottom w:val="none" w:sz="0" w:space="0" w:color="auto"/>
        <w:right w:val="none" w:sz="0" w:space="0" w:color="auto"/>
      </w:divBdr>
    </w:div>
    <w:div w:id="1594702531">
      <w:bodyDiv w:val="1"/>
      <w:marLeft w:val="0"/>
      <w:marRight w:val="0"/>
      <w:marTop w:val="0"/>
      <w:marBottom w:val="0"/>
      <w:divBdr>
        <w:top w:val="none" w:sz="0" w:space="0" w:color="auto"/>
        <w:left w:val="none" w:sz="0" w:space="0" w:color="auto"/>
        <w:bottom w:val="none" w:sz="0" w:space="0" w:color="auto"/>
        <w:right w:val="none" w:sz="0" w:space="0" w:color="auto"/>
      </w:divBdr>
    </w:div>
    <w:div w:id="1638802661">
      <w:bodyDiv w:val="1"/>
      <w:marLeft w:val="0"/>
      <w:marRight w:val="0"/>
      <w:marTop w:val="0"/>
      <w:marBottom w:val="0"/>
      <w:divBdr>
        <w:top w:val="none" w:sz="0" w:space="0" w:color="auto"/>
        <w:left w:val="none" w:sz="0" w:space="0" w:color="auto"/>
        <w:bottom w:val="none" w:sz="0" w:space="0" w:color="auto"/>
        <w:right w:val="none" w:sz="0" w:space="0" w:color="auto"/>
      </w:divBdr>
    </w:div>
    <w:div w:id="1654331646">
      <w:bodyDiv w:val="1"/>
      <w:marLeft w:val="0"/>
      <w:marRight w:val="0"/>
      <w:marTop w:val="0"/>
      <w:marBottom w:val="0"/>
      <w:divBdr>
        <w:top w:val="none" w:sz="0" w:space="0" w:color="auto"/>
        <w:left w:val="none" w:sz="0" w:space="0" w:color="auto"/>
        <w:bottom w:val="none" w:sz="0" w:space="0" w:color="auto"/>
        <w:right w:val="none" w:sz="0" w:space="0" w:color="auto"/>
      </w:divBdr>
    </w:div>
    <w:div w:id="1677612458">
      <w:bodyDiv w:val="1"/>
      <w:marLeft w:val="0"/>
      <w:marRight w:val="0"/>
      <w:marTop w:val="0"/>
      <w:marBottom w:val="0"/>
      <w:divBdr>
        <w:top w:val="none" w:sz="0" w:space="0" w:color="auto"/>
        <w:left w:val="none" w:sz="0" w:space="0" w:color="auto"/>
        <w:bottom w:val="none" w:sz="0" w:space="0" w:color="auto"/>
        <w:right w:val="none" w:sz="0" w:space="0" w:color="auto"/>
      </w:divBdr>
    </w:div>
    <w:div w:id="1690788330">
      <w:bodyDiv w:val="1"/>
      <w:marLeft w:val="0"/>
      <w:marRight w:val="0"/>
      <w:marTop w:val="0"/>
      <w:marBottom w:val="0"/>
      <w:divBdr>
        <w:top w:val="none" w:sz="0" w:space="0" w:color="auto"/>
        <w:left w:val="none" w:sz="0" w:space="0" w:color="auto"/>
        <w:bottom w:val="none" w:sz="0" w:space="0" w:color="auto"/>
        <w:right w:val="none" w:sz="0" w:space="0" w:color="auto"/>
      </w:divBdr>
    </w:div>
    <w:div w:id="1724863155">
      <w:bodyDiv w:val="1"/>
      <w:marLeft w:val="0"/>
      <w:marRight w:val="0"/>
      <w:marTop w:val="0"/>
      <w:marBottom w:val="0"/>
      <w:divBdr>
        <w:top w:val="none" w:sz="0" w:space="0" w:color="auto"/>
        <w:left w:val="none" w:sz="0" w:space="0" w:color="auto"/>
        <w:bottom w:val="none" w:sz="0" w:space="0" w:color="auto"/>
        <w:right w:val="none" w:sz="0" w:space="0" w:color="auto"/>
      </w:divBdr>
    </w:div>
    <w:div w:id="1740012161">
      <w:bodyDiv w:val="1"/>
      <w:marLeft w:val="0"/>
      <w:marRight w:val="0"/>
      <w:marTop w:val="0"/>
      <w:marBottom w:val="0"/>
      <w:divBdr>
        <w:top w:val="none" w:sz="0" w:space="0" w:color="auto"/>
        <w:left w:val="none" w:sz="0" w:space="0" w:color="auto"/>
        <w:bottom w:val="none" w:sz="0" w:space="0" w:color="auto"/>
        <w:right w:val="none" w:sz="0" w:space="0" w:color="auto"/>
      </w:divBdr>
    </w:div>
    <w:div w:id="1774402848">
      <w:bodyDiv w:val="1"/>
      <w:marLeft w:val="0"/>
      <w:marRight w:val="0"/>
      <w:marTop w:val="0"/>
      <w:marBottom w:val="0"/>
      <w:divBdr>
        <w:top w:val="none" w:sz="0" w:space="0" w:color="auto"/>
        <w:left w:val="none" w:sz="0" w:space="0" w:color="auto"/>
        <w:bottom w:val="none" w:sz="0" w:space="0" w:color="auto"/>
        <w:right w:val="none" w:sz="0" w:space="0" w:color="auto"/>
      </w:divBdr>
    </w:div>
    <w:div w:id="1804693750">
      <w:bodyDiv w:val="1"/>
      <w:marLeft w:val="0"/>
      <w:marRight w:val="0"/>
      <w:marTop w:val="0"/>
      <w:marBottom w:val="0"/>
      <w:divBdr>
        <w:top w:val="none" w:sz="0" w:space="0" w:color="auto"/>
        <w:left w:val="none" w:sz="0" w:space="0" w:color="auto"/>
        <w:bottom w:val="none" w:sz="0" w:space="0" w:color="auto"/>
        <w:right w:val="none" w:sz="0" w:space="0" w:color="auto"/>
      </w:divBdr>
    </w:div>
    <w:div w:id="1816216792">
      <w:bodyDiv w:val="1"/>
      <w:marLeft w:val="0"/>
      <w:marRight w:val="0"/>
      <w:marTop w:val="0"/>
      <w:marBottom w:val="0"/>
      <w:divBdr>
        <w:top w:val="none" w:sz="0" w:space="0" w:color="auto"/>
        <w:left w:val="none" w:sz="0" w:space="0" w:color="auto"/>
        <w:bottom w:val="none" w:sz="0" w:space="0" w:color="auto"/>
        <w:right w:val="none" w:sz="0" w:space="0" w:color="auto"/>
      </w:divBdr>
    </w:div>
    <w:div w:id="1831024273">
      <w:bodyDiv w:val="1"/>
      <w:marLeft w:val="0"/>
      <w:marRight w:val="0"/>
      <w:marTop w:val="0"/>
      <w:marBottom w:val="0"/>
      <w:divBdr>
        <w:top w:val="none" w:sz="0" w:space="0" w:color="auto"/>
        <w:left w:val="none" w:sz="0" w:space="0" w:color="auto"/>
        <w:bottom w:val="none" w:sz="0" w:space="0" w:color="auto"/>
        <w:right w:val="none" w:sz="0" w:space="0" w:color="auto"/>
      </w:divBdr>
    </w:div>
    <w:div w:id="1940673253">
      <w:bodyDiv w:val="1"/>
      <w:marLeft w:val="0"/>
      <w:marRight w:val="0"/>
      <w:marTop w:val="0"/>
      <w:marBottom w:val="0"/>
      <w:divBdr>
        <w:top w:val="none" w:sz="0" w:space="0" w:color="auto"/>
        <w:left w:val="none" w:sz="0" w:space="0" w:color="auto"/>
        <w:bottom w:val="none" w:sz="0" w:space="0" w:color="auto"/>
        <w:right w:val="none" w:sz="0" w:space="0" w:color="auto"/>
      </w:divBdr>
    </w:div>
    <w:div w:id="2014995016">
      <w:bodyDiv w:val="1"/>
      <w:marLeft w:val="0"/>
      <w:marRight w:val="0"/>
      <w:marTop w:val="0"/>
      <w:marBottom w:val="0"/>
      <w:divBdr>
        <w:top w:val="none" w:sz="0" w:space="0" w:color="auto"/>
        <w:left w:val="none" w:sz="0" w:space="0" w:color="auto"/>
        <w:bottom w:val="none" w:sz="0" w:space="0" w:color="auto"/>
        <w:right w:val="none" w:sz="0" w:space="0" w:color="auto"/>
      </w:divBdr>
    </w:div>
    <w:div w:id="2017807351">
      <w:bodyDiv w:val="1"/>
      <w:marLeft w:val="0"/>
      <w:marRight w:val="0"/>
      <w:marTop w:val="0"/>
      <w:marBottom w:val="0"/>
      <w:divBdr>
        <w:top w:val="none" w:sz="0" w:space="0" w:color="auto"/>
        <w:left w:val="none" w:sz="0" w:space="0" w:color="auto"/>
        <w:bottom w:val="none" w:sz="0" w:space="0" w:color="auto"/>
        <w:right w:val="none" w:sz="0" w:space="0" w:color="auto"/>
      </w:divBdr>
    </w:div>
    <w:div w:id="2024741645">
      <w:bodyDiv w:val="1"/>
      <w:marLeft w:val="0"/>
      <w:marRight w:val="0"/>
      <w:marTop w:val="0"/>
      <w:marBottom w:val="0"/>
      <w:divBdr>
        <w:top w:val="none" w:sz="0" w:space="0" w:color="auto"/>
        <w:left w:val="none" w:sz="0" w:space="0" w:color="auto"/>
        <w:bottom w:val="none" w:sz="0" w:space="0" w:color="auto"/>
        <w:right w:val="none" w:sz="0" w:space="0" w:color="auto"/>
      </w:divBdr>
    </w:div>
    <w:div w:id="2099018009">
      <w:bodyDiv w:val="1"/>
      <w:marLeft w:val="0"/>
      <w:marRight w:val="0"/>
      <w:marTop w:val="0"/>
      <w:marBottom w:val="0"/>
      <w:divBdr>
        <w:top w:val="none" w:sz="0" w:space="0" w:color="auto"/>
        <w:left w:val="none" w:sz="0" w:space="0" w:color="auto"/>
        <w:bottom w:val="none" w:sz="0" w:space="0" w:color="auto"/>
        <w:right w:val="none" w:sz="0" w:space="0" w:color="auto"/>
      </w:divBdr>
    </w:div>
    <w:div w:id="2144692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www.consort-statement.org/index.aspx?o=1016" TargetMode="External"/><Relationship Id="rId39" Type="http://schemas.openxmlformats.org/officeDocument/2006/relationships/hyperlink" Target="http://www.consort-statement.org/index.aspx?o=1028" TargetMode="External"/><Relationship Id="rId21" Type="http://schemas.openxmlformats.org/officeDocument/2006/relationships/footer" Target="footer6.xml"/><Relationship Id="rId34" Type="http://schemas.openxmlformats.org/officeDocument/2006/relationships/hyperlink" Target="http://www.consort-statement.org/index.aspx?o=1024" TargetMode="External"/><Relationship Id="rId42" Type="http://schemas.openxmlformats.org/officeDocument/2006/relationships/hyperlink" Target="http://www.consort-statement.org/index.aspx?o=1018" TargetMode="External"/><Relationship Id="rId47" Type="http://schemas.openxmlformats.org/officeDocument/2006/relationships/hyperlink" Target="http://www.consort-statement.org/index.aspx?o=1090" TargetMode="External"/><Relationship Id="rId50" Type="http://schemas.openxmlformats.org/officeDocument/2006/relationships/hyperlink" Target="http://www.consort-statement.org/index.aspx?o=1019"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www.consort-statement.org/index.aspx?o=1021" TargetMode="Externa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yperlink" Target="http://www.consort-statement.org/index.aspx?o=1023" TargetMode="External"/><Relationship Id="rId37" Type="http://schemas.openxmlformats.org/officeDocument/2006/relationships/hyperlink" Target="http://www.consort-statement.org/index.aspx?o=1027" TargetMode="External"/><Relationship Id="rId40" Type="http://schemas.openxmlformats.org/officeDocument/2006/relationships/hyperlink" Target="http://www.consort-statement.org/index.aspx?o=1029" TargetMode="External"/><Relationship Id="rId45" Type="http://schemas.openxmlformats.org/officeDocument/2006/relationships/hyperlink" Target="http://www.consort-statement.org/index.aspx?o=1088" TargetMode="External"/><Relationship Id="rId53" Type="http://schemas.openxmlformats.org/officeDocument/2006/relationships/footer" Target="footer10.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www.consort-statement.org/index.aspx?o=1017" TargetMode="External"/><Relationship Id="rId30" Type="http://schemas.openxmlformats.org/officeDocument/2006/relationships/hyperlink" Target="http://www.consort-statement.org/index.aspx?o=1022" TargetMode="External"/><Relationship Id="rId35" Type="http://schemas.openxmlformats.org/officeDocument/2006/relationships/hyperlink" Target="http://www.consort-statement.org/index.aspx?o=1025" TargetMode="External"/><Relationship Id="rId43" Type="http://schemas.openxmlformats.org/officeDocument/2006/relationships/hyperlink" Target="http://www.consort-statement.org/index.aspx?o=1086" TargetMode="External"/><Relationship Id="rId48" Type="http://schemas.openxmlformats.org/officeDocument/2006/relationships/hyperlink" Target="http://www.consort-statement.org/index.aspx?o=1091" TargetMode="External"/><Relationship Id="rId56"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hyperlink" Target="http://www.consort-statement.org/index.aspx?o=1094"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www.consort-statement.org/index.aspx?o=1107" TargetMode="External"/><Relationship Id="rId33" Type="http://schemas.openxmlformats.org/officeDocument/2006/relationships/hyperlink" Target="http://www.consort-statement.org/index.aspx?o=1024" TargetMode="External"/><Relationship Id="rId38" Type="http://schemas.openxmlformats.org/officeDocument/2006/relationships/hyperlink" Target="http://www.consort-statement.org/index.aspx?o=1028" TargetMode="External"/><Relationship Id="rId46" Type="http://schemas.openxmlformats.org/officeDocument/2006/relationships/hyperlink" Target="http://www.consort-statement.org/index.aspx?o=1089" TargetMode="External"/><Relationship Id="rId20" Type="http://schemas.openxmlformats.org/officeDocument/2006/relationships/header" Target="header7.xml"/><Relationship Id="rId41" Type="http://schemas.openxmlformats.org/officeDocument/2006/relationships/hyperlink" Target="http://www.consort-statement.org/index.aspx?o=1029" TargetMode="Externa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www.consort-statement.org/index.aspx?o=1017" TargetMode="External"/><Relationship Id="rId36" Type="http://schemas.openxmlformats.org/officeDocument/2006/relationships/hyperlink" Target="http://www.consort-statement.org/index.aspx?o=1026" TargetMode="External"/><Relationship Id="rId49" Type="http://schemas.openxmlformats.org/officeDocument/2006/relationships/hyperlink" Target="http://www.consort-statement.org/index.aspx?o=1092"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yperlink" Target="http://www.consort-statement.org/index.aspx?o=1023" TargetMode="External"/><Relationship Id="rId44" Type="http://schemas.openxmlformats.org/officeDocument/2006/relationships/hyperlink" Target="http://www.consort-statement.org/index.aspx?o=1087" TargetMode="External"/><Relationship Id="rId52" Type="http://schemas.openxmlformats.org/officeDocument/2006/relationships/hyperlink" Target="http://www.consort-statement.org/index.aspx?o=1095"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B2A660C8D8A44D390A5E4FAC1B6BBDD"/>
        <w:category>
          <w:name w:val="General"/>
          <w:gallery w:val="placeholder"/>
        </w:category>
        <w:types>
          <w:type w:val="bbPlcHdr"/>
        </w:types>
        <w:behaviors>
          <w:behavior w:val="content"/>
        </w:behaviors>
        <w:guid w:val="{A4A8321F-4CC6-4514-AEEE-8D86CC6659F2}"/>
      </w:docPartPr>
      <w:docPartBody>
        <w:p w:rsidR="003345C2" w:rsidRDefault="003345C2">
          <w:pPr>
            <w:pStyle w:val="8B2A660C8D8A44D390A5E4FAC1B6BBDD"/>
          </w:pPr>
          <w:r w:rsidRPr="00BE7A4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Bold">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LeituraSans-Grot 2">
    <w:altName w:val="Cambria"/>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45C2"/>
    <w:rsid w:val="00016797"/>
    <w:rsid w:val="00055810"/>
    <w:rsid w:val="000C43B8"/>
    <w:rsid w:val="001961DD"/>
    <w:rsid w:val="002151F2"/>
    <w:rsid w:val="00300887"/>
    <w:rsid w:val="003345C2"/>
    <w:rsid w:val="00347AC6"/>
    <w:rsid w:val="00403FC6"/>
    <w:rsid w:val="004C559C"/>
    <w:rsid w:val="004C6B84"/>
    <w:rsid w:val="0057708C"/>
    <w:rsid w:val="00656901"/>
    <w:rsid w:val="006662F2"/>
    <w:rsid w:val="006B6141"/>
    <w:rsid w:val="007F1271"/>
    <w:rsid w:val="0080300E"/>
    <w:rsid w:val="00843D2C"/>
    <w:rsid w:val="00891033"/>
    <w:rsid w:val="008A2BB5"/>
    <w:rsid w:val="008C1539"/>
    <w:rsid w:val="009E5870"/>
    <w:rsid w:val="00A34801"/>
    <w:rsid w:val="00BB29DD"/>
    <w:rsid w:val="00BE5910"/>
    <w:rsid w:val="00DB2F8D"/>
    <w:rsid w:val="00E16FF5"/>
    <w:rsid w:val="00ED078A"/>
    <w:rsid w:val="00FB566E"/>
    <w:rsid w:val="00FF1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B2A660C8D8A44D390A5E4FAC1B6BBDD">
    <w:name w:val="8B2A660C8D8A44D390A5E4FAC1B6BB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C339C-2263-478E-9DA6-D3B14A4B0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10458</Words>
  <Characters>59616</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2020-10-29T16:53:00Z</dcterms:created>
  <dcterms:modified xsi:type="dcterms:W3CDTF">2020-10-30T13:55:00Z</dcterms:modified>
</cp:coreProperties>
</file>